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Washington, D.C. 20549</w:t>
      </w:r>
    </w:p>
    <w:p>
      <w:pPr>
        <w:spacing w:after="0" w:line="13"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w:t>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32"/>
          <w:szCs w:val="32"/>
          <w:color w:val="auto"/>
        </w:rPr>
        <w:t>FORM 8-K</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w:t>
      </w:r>
    </w:p>
    <w:p>
      <w:pPr>
        <w:spacing w:after="0" w:line="218"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CURRENT REPORT</w:t>
      </w:r>
    </w:p>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Pursuant to Section 13 or 15(d) of the</w:t>
      </w:r>
    </w:p>
    <w:p>
      <w:pPr>
        <w:spacing w:after="0" w:line="108"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Securities Exchange Act of 1934</w:t>
      </w:r>
    </w:p>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167640</wp:posOffset>
            </wp:positionV>
            <wp:extent cx="8318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18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MSA SAFETY INCORPORATED</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983" w:right="479" w:bottom="1440" w:gutter="0" w:footer="0" w:header="0"/>
        </w:sectPr>
      </w:pPr>
    </w:p>
    <w:p>
      <w:pPr>
        <w:spacing w:after="0" w:line="137" w:lineRule="exact"/>
        <w:rPr>
          <w:sz w:val="24"/>
          <w:szCs w:val="24"/>
          <w:color w:val="auto"/>
        </w:rPr>
      </w:pPr>
    </w:p>
    <w:p>
      <w:pPr>
        <w:ind w:left="1220"/>
        <w:spacing w:after="0"/>
        <w:rPr>
          <w:sz w:val="20"/>
          <w:szCs w:val="20"/>
          <w:color w:val="auto"/>
        </w:rPr>
      </w:pPr>
      <w:r>
        <w:rPr>
          <w:rFonts w:ascii="Arial" w:cs="Arial" w:eastAsia="Arial" w:hAnsi="Arial"/>
          <w:sz w:val="19"/>
          <w:szCs w:val="19"/>
          <w:color w:val="auto"/>
        </w:rPr>
        <w:t>Pennsylvania</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2200"/>
        <w:spacing w:after="0"/>
        <w:rPr>
          <w:sz w:val="20"/>
          <w:szCs w:val="20"/>
          <w:color w:val="auto"/>
        </w:rPr>
      </w:pPr>
      <w:r>
        <w:rPr>
          <w:rFonts w:ascii="Arial" w:cs="Arial" w:eastAsia="Arial" w:hAnsi="Arial"/>
          <w:sz w:val="19"/>
          <w:szCs w:val="19"/>
          <w:color w:val="auto"/>
        </w:rPr>
        <w:t>1-15579</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9"/>
          <w:szCs w:val="19"/>
          <w:color w:val="auto"/>
        </w:rPr>
        <w:t>46-4914539</w:t>
      </w:r>
    </w:p>
    <w:p>
      <w:pPr>
        <w:spacing w:after="0" w:line="64" w:lineRule="exact"/>
        <w:rPr>
          <w:sz w:val="24"/>
          <w:szCs w:val="24"/>
          <w:color w:val="auto"/>
        </w:rPr>
      </w:pPr>
    </w:p>
    <w:p>
      <w:pPr>
        <w:sectPr>
          <w:pgSz w:w="11900" w:h="16838" w:orient="portrait"/>
          <w:cols w:equalWidth="0" w:num="3">
            <w:col w:w="4520" w:space="720"/>
            <w:col w:w="2920" w:space="720"/>
            <w:col w:w="2220"/>
          </w:cols>
          <w:pgMar w:left="320" w:top="983" w:right="47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3" w:lineRule="exact"/>
        <w:rPr>
          <w:sz w:val="24"/>
          <w:szCs w:val="24"/>
          <w:color w:val="auto"/>
        </w:rPr>
      </w:pPr>
    </w:p>
    <w:p>
      <w:pPr>
        <w:sectPr>
          <w:pgSz w:w="11900" w:h="16838" w:orient="portrait"/>
          <w:cols w:equalWidth="0" w:num="3">
            <w:col w:w="4020" w:space="720"/>
            <w:col w:w="2760" w:space="720"/>
            <w:col w:w="2880"/>
          </w:cols>
          <w:pgMar w:left="320" w:top="983" w:right="479" w:bottom="1440" w:gutter="0" w:footer="0" w:header="0"/>
          <w:type w:val="continuous"/>
        </w:sectPr>
      </w:pPr>
    </w:p>
    <w:p>
      <w:pPr>
        <w:ind w:left="1400"/>
        <w:spacing w:after="0"/>
        <w:rPr>
          <w:sz w:val="20"/>
          <w:szCs w:val="20"/>
          <w:color w:val="auto"/>
        </w:rPr>
      </w:pPr>
      <w:r>
        <w:rPr>
          <w:rFonts w:ascii="Arial" w:cs="Arial" w:eastAsia="Arial" w:hAnsi="Arial"/>
          <w:sz w:val="14"/>
          <w:szCs w:val="14"/>
          <w:color w:val="auto"/>
        </w:rPr>
        <w:t>organization)</w:t>
      </w:r>
    </w:p>
    <w:p>
      <w:pPr>
        <w:sectPr>
          <w:pgSz w:w="11900" w:h="16838" w:orient="portrait"/>
          <w:cols w:equalWidth="0" w:num="1">
            <w:col w:w="11100"/>
          </w:cols>
          <w:pgMar w:left="320" w:top="983" w:right="479" w:bottom="1440" w:gutter="0" w:footer="0" w:header="0"/>
          <w:type w:val="continuous"/>
        </w:sectPr>
      </w:pPr>
    </w:p>
    <w:p>
      <w:pPr>
        <w:spacing w:after="0" w:line="12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1000 Cranberry Woods Drive</w:t>
      </w:r>
    </w:p>
    <w:p>
      <w:pPr>
        <w:spacing w:after="0" w:line="4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Cranberry Township, Pennsylvania</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16066-5207</w:t>
      </w:r>
    </w:p>
    <w:p>
      <w:pPr>
        <w:spacing w:after="0" w:line="34" w:lineRule="exact"/>
        <w:rPr>
          <w:sz w:val="24"/>
          <w:szCs w:val="24"/>
          <w:color w:val="auto"/>
        </w:rPr>
      </w:pPr>
    </w:p>
    <w:p>
      <w:pPr>
        <w:sectPr>
          <w:pgSz w:w="11900" w:h="16838" w:orient="portrait"/>
          <w:cols w:equalWidth="0" w:num="2">
            <w:col w:w="8680" w:space="720"/>
            <w:col w:w="1700"/>
          </w:cols>
          <w:pgMar w:left="320" w:top="983" w:right="47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780" w:space="720"/>
            <w:col w:w="1600"/>
          </w:cols>
          <w:pgMar w:left="320" w:top="983" w:right="479" w:bottom="1440" w:gutter="0" w:footer="0" w:header="0"/>
          <w:type w:val="continuous"/>
        </w:sectPr>
      </w:pPr>
    </w:p>
    <w:p>
      <w:pPr>
        <w:spacing w:after="0" w:line="1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724-776-8600</w:t>
      </w:r>
    </w:p>
    <w:p>
      <w:pPr>
        <w:spacing w:after="0" w:line="25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17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following provisions:</w:t>
      </w:r>
    </w:p>
    <w:p>
      <w:pPr>
        <w:spacing w:after="0" w:line="139" w:lineRule="exact"/>
        <w:rPr>
          <w:sz w:val="24"/>
          <w:szCs w:val="24"/>
          <w:color w:val="auto"/>
        </w:rPr>
      </w:pPr>
    </w:p>
    <w:p>
      <w:pPr>
        <w:ind w:left="1000" w:hanging="409"/>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1000" w:hanging="409"/>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1000" w:hanging="409"/>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1000" w:hanging="409"/>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2"/>
        </w:trPr>
        <w:tc>
          <w:tcPr>
            <w:tcW w:w="380" w:type="dxa"/>
            <w:vAlign w:val="bottom"/>
          </w:tcPr>
          <w:p>
            <w:pPr>
              <w:spacing w:after="0"/>
              <w:rPr>
                <w:sz w:val="24"/>
                <w:szCs w:val="24"/>
                <w:color w:val="auto"/>
              </w:rPr>
            </w:pPr>
          </w:p>
        </w:tc>
        <w:tc>
          <w:tcPr>
            <w:tcW w:w="20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20" w:type="dxa"/>
            <w:vAlign w:val="bottom"/>
          </w:tcPr>
          <w:p>
            <w:pPr>
              <w:spacing w:after="0"/>
              <w:rPr>
                <w:sz w:val="24"/>
                <w:szCs w:val="24"/>
                <w:color w:val="auto"/>
              </w:rPr>
            </w:pP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04"/>
        </w:trPr>
        <w:tc>
          <w:tcPr>
            <w:tcW w:w="2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20" w:type="dxa"/>
            <w:vAlign w:val="bottom"/>
          </w:tcPr>
          <w:p>
            <w:pPr>
              <w:spacing w:after="0"/>
              <w:rPr>
                <w:sz w:val="24"/>
                <w:szCs w:val="24"/>
                <w:color w:val="auto"/>
              </w:rPr>
            </w:pP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MSA</w:t>
            </w:r>
          </w:p>
        </w:tc>
        <w:tc>
          <w:tcPr>
            <w:tcW w:w="7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9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3" w:right="479" w:bottom="1440" w:gutter="0" w:footer="0" w:header="0"/>
          <w:type w:val="continuous"/>
        </w:sectPr>
      </w:pPr>
    </w:p>
    <w:bookmarkStart w:id="1" w:name="page2"/>
    <w:bookmarkEnd w:id="1"/>
    <w:p>
      <w:pPr>
        <w:ind w:left="4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0" w:lineRule="exact"/>
        <w:rPr>
          <w:sz w:val="20"/>
          <w:szCs w:val="20"/>
          <w:color w:val="auto"/>
        </w:rPr>
      </w:pPr>
    </w:p>
    <w:p>
      <w:pPr>
        <w:spacing w:after="0" w:line="259" w:lineRule="exact"/>
        <w:rPr>
          <w:sz w:val="20"/>
          <w:szCs w:val="20"/>
          <w:color w:val="auto"/>
        </w:rPr>
      </w:pPr>
    </w:p>
    <w:p>
      <w:pPr>
        <w:ind w:left="20" w:firstLine="445"/>
        <w:spacing w:after="0" w:line="329" w:lineRule="auto"/>
        <w:rPr>
          <w:sz w:val="20"/>
          <w:szCs w:val="20"/>
          <w:color w:val="auto"/>
        </w:rPr>
      </w:pPr>
      <w:r>
        <w:rPr>
          <w:rFonts w:ascii="Times New Roman" w:cs="Times New Roman" w:eastAsia="Times New Roman" w:hAnsi="Times New Roman"/>
          <w:sz w:val="18"/>
          <w:szCs w:val="18"/>
          <w:color w:val="auto"/>
        </w:rPr>
        <w:t>On November 2, 2026, the Company issued a press release announcing its financial results for the quarter ended September 30, 2026. A copy of the press release is furnished herewith as Exhibit 99.1 to this report.</w:t>
      </w:r>
    </w:p>
    <w:p>
      <w:pPr>
        <w:spacing w:after="0" w:line="37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 Exhibits</w:t>
      </w:r>
    </w:p>
    <w:p>
      <w:pPr>
        <w:spacing w:after="0" w:line="320" w:lineRule="exact"/>
        <w:rPr>
          <w:sz w:val="20"/>
          <w:szCs w:val="20"/>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8"/>
          <w:szCs w:val="18"/>
          <w:color w:val="auto"/>
        </w:rPr>
        <w:t>99.1</w:t>
        <w:tab/>
        <w:t>MSA Safety Incorporated Press Release dated November 2, 2026, announcing financial results for the quarter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587375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51"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MSA SAFETY INCORPORATED</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(Registrant)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580" w:type="dxa"/>
            <w:vAlign w:val="bottom"/>
          </w:tcPr>
          <w:p>
            <w:pPr>
              <w:spacing w:after="0"/>
              <w:rPr>
                <w:sz w:val="23"/>
                <w:szCs w:val="23"/>
                <w:color w:val="auto"/>
              </w:rPr>
            </w:pPr>
          </w:p>
        </w:tc>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A. Beck</w:t>
            </w:r>
          </w:p>
        </w:tc>
        <w:tc>
          <w:tcPr>
            <w:tcW w:w="3700" w:type="dxa"/>
            <w:vAlign w:val="bottom"/>
          </w:tcPr>
          <w:p>
            <w:pPr>
              <w:spacing w:after="0"/>
              <w:rPr>
                <w:sz w:val="23"/>
                <w:szCs w:val="23"/>
                <w:color w:val="auto"/>
              </w:rPr>
            </w:pPr>
          </w:p>
        </w:tc>
      </w:tr>
      <w:tr>
        <w:trPr>
          <w:trHeight w:val="237"/>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A. Beck</w:t>
            </w:r>
          </w:p>
        </w:tc>
      </w:tr>
      <w:tr>
        <w:trPr>
          <w:trHeight w:val="243"/>
        </w:trPr>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 (Principal Financial Officer)</w:t>
            </w:r>
          </w:p>
        </w:tc>
      </w:tr>
      <w:tr>
        <w:trPr>
          <w:trHeight w:val="513"/>
        </w:trPr>
        <w:tc>
          <w:tcPr>
            <w:tcW w:w="300" w:type="dxa"/>
            <w:vAlign w:val="bottom"/>
          </w:tcPr>
          <w:p>
            <w:pPr>
              <w:spacing w:after="0"/>
              <w:rPr>
                <w:sz w:val="24"/>
                <w:szCs w:val="24"/>
                <w:color w:val="auto"/>
              </w:rPr>
            </w:pPr>
          </w:p>
        </w:tc>
        <w:tc>
          <w:tcPr>
            <w:tcW w:w="10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November 2, 2026</w:t>
            </w:r>
          </w:p>
        </w:tc>
      </w:tr>
      <w:tr>
        <w:trPr>
          <w:trHeight w:val="925"/>
        </w:trPr>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0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0" w:lineRule="exact"/>
        <w:rPr>
          <w:sz w:val="20"/>
          <w:szCs w:val="20"/>
          <w:color w:val="auto"/>
        </w:rPr>
      </w:pPr>
    </w:p>
    <w:p>
      <w:pPr>
        <w:spacing w:after="0" w:line="295"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MSA Safety Incorporated Press Release dated November 2, 2026, announcing financial results for the quarter ended September 30, 2026.</w:t>
      </w:r>
    </w:p>
    <w:p>
      <w:pPr>
        <w:sectPr>
          <w:pgSz w:w="11900" w:h="16838" w:orient="portrait"/>
          <w:cols w:equalWidth="0" w:num="1">
            <w:col w:w="10740"/>
          </w:cols>
          <w:pgMar w:left="320" w:top="918" w:right="839" w:bottom="1440" w:gutter="0" w:footer="0" w:header="0"/>
        </w:sectPr>
      </w:pPr>
    </w:p>
    <w:bookmarkStart w:id="4" w:name="page5"/>
    <w:bookmarkEnd w:id="4"/>
    <w:p>
      <w:pPr>
        <w:ind w:left="98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11430</wp:posOffset>
            </wp:positionV>
            <wp:extent cx="123444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FROM: </w:t>
      </w:r>
      <w:r>
        <w:rPr>
          <w:rFonts w:ascii="Arial" w:cs="Arial" w:eastAsia="Arial" w:hAnsi="Arial"/>
          <w:sz w:val="22"/>
          <w:szCs w:val="22"/>
          <w:color w:val="auto"/>
        </w:rPr>
        <w:t>MSA Safety Incorporated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Ticker: MSA (NYSE)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Media Relations Contact: Ron Hudok (724) 822-7925</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Contact: Julie Beck (724) 799-9105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MSA Safety Announces Third Quarter 2026 Results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Third Quarter 2026 Highlights</w:t>
      </w:r>
    </w:p>
    <w:p>
      <w:pPr>
        <w:spacing w:after="0" w:line="8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Achieved quarterly net sales of $536 million, a 15% GAAP increase and a 6% organic increase year-over-year</w:t>
      </w:r>
    </w:p>
    <w:p>
      <w:pPr>
        <w:spacing w:after="0" w:line="244" w:lineRule="exact"/>
        <w:rPr>
          <w:rFonts w:ascii="Arial" w:cs="Arial" w:eastAsia="Arial" w:hAnsi="Arial"/>
          <w:sz w:val="21"/>
          <w:szCs w:val="21"/>
          <w:color w:val="auto"/>
        </w:rPr>
      </w:pPr>
    </w:p>
    <w:p>
      <w:pPr>
        <w:ind w:left="660" w:right="220" w:hanging="328"/>
        <w:spacing w:after="0" w:line="27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Generated GAAP operating income of $88 million, or 16.4% of sales, and adjusted operating income of $115 million, or 21.4% of sales</w:t>
      </w:r>
    </w:p>
    <w:p>
      <w:pPr>
        <w:spacing w:after="0" w:line="169" w:lineRule="exact"/>
        <w:rPr>
          <w:rFonts w:ascii="Arial" w:cs="Arial" w:eastAsia="Arial" w:hAnsi="Arial"/>
          <w:sz w:val="22"/>
          <w:szCs w:val="22"/>
          <w:color w:val="auto"/>
        </w:rPr>
      </w:pPr>
    </w:p>
    <w:p>
      <w:pPr>
        <w:ind w:left="660" w:right="20" w:hanging="328"/>
        <w:spacing w:after="0" w:line="25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Recorded GAAP net income of $58 million, or $1.51 per diluted share, a decrease from prior year due to Autronica acquisition costs, and adjusted earnings of $81 million, or $2.09 per diluted share, an increase of </w:t>
      </w:r>
      <w:r>
        <w:rPr>
          <w:rFonts w:ascii="Arial" w:cs="Arial" w:eastAsia="Arial" w:hAnsi="Arial"/>
          <w:sz w:val="19"/>
          <w:szCs w:val="19"/>
          <w:color w:val="auto"/>
        </w:rPr>
        <w:t>8%</w:t>
      </w:r>
      <w:r>
        <w:rPr>
          <w:rFonts w:ascii="Arial" w:cs="Arial" w:eastAsia="Arial" w:hAnsi="Arial"/>
          <w:sz w:val="22"/>
          <w:szCs w:val="22"/>
          <w:color w:val="auto"/>
        </w:rPr>
        <w:t xml:space="preserve"> year-over-year</w:t>
      </w:r>
    </w:p>
    <w:p>
      <w:pPr>
        <w:spacing w:after="0" w:line="19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Completed the acquisition of Autronica Fire and Security for $563 million, net of cash acquired</w:t>
      </w:r>
    </w:p>
    <w:p>
      <w:pPr>
        <w:spacing w:after="0" w:line="200" w:lineRule="exact"/>
        <w:rPr>
          <w:sz w:val="20"/>
          <w:szCs w:val="20"/>
          <w:color w:val="auto"/>
        </w:rPr>
      </w:pPr>
    </w:p>
    <w:p>
      <w:pPr>
        <w:spacing w:after="0" w:line="357" w:lineRule="exact"/>
        <w:rPr>
          <w:sz w:val="20"/>
          <w:szCs w:val="20"/>
          <w:color w:val="auto"/>
        </w:rPr>
      </w:pPr>
    </w:p>
    <w:p>
      <w:pPr>
        <w:spacing w:after="0" w:line="366" w:lineRule="auto"/>
        <w:rPr>
          <w:sz w:val="20"/>
          <w:szCs w:val="20"/>
          <w:color w:val="auto"/>
        </w:rPr>
      </w:pPr>
      <w:r>
        <w:rPr>
          <w:rFonts w:ascii="Arial" w:cs="Arial" w:eastAsia="Arial" w:hAnsi="Arial"/>
          <w:sz w:val="22"/>
          <w:szCs w:val="22"/>
          <w:color w:val="auto"/>
        </w:rPr>
        <w:t>PITTSBURGH, November 2, 2026 - Global provider of advanced industrial safety technology products and solutions that protect people and facility infrastructures, MSA Safety Incorporated (NYSE: MSA) today reported financial results for the third quarter of 2026.</w:t>
      </w:r>
    </w:p>
    <w:p>
      <w:pPr>
        <w:spacing w:after="0" w:line="206" w:lineRule="exact"/>
        <w:rPr>
          <w:sz w:val="20"/>
          <w:szCs w:val="20"/>
          <w:color w:val="auto"/>
        </w:rPr>
      </w:pPr>
    </w:p>
    <w:p>
      <w:pPr>
        <w:ind w:right="180" w:firstLine="648"/>
        <w:spacing w:after="0" w:line="361" w:lineRule="auto"/>
        <w:rPr>
          <w:sz w:val="20"/>
          <w:szCs w:val="20"/>
          <w:color w:val="auto"/>
        </w:rPr>
      </w:pPr>
      <w:r>
        <w:rPr>
          <w:rFonts w:ascii="Arial" w:cs="Arial" w:eastAsia="Arial" w:hAnsi="Arial"/>
          <w:sz w:val="22"/>
          <w:szCs w:val="22"/>
          <w:color w:val="auto"/>
        </w:rPr>
        <w:t>"The MSA team continued to advance our Accelerate strategy in the third quarter, delivering 15% sales growth," said Steve Blanco, President and Chief Executive Officer of MSA Safety. "We executed several strategic objectives, including closing the acquisition of Autronica Fire and Security, launching the G1 City Edition SCBA, and continuing momentum in MSA+ connected safety, with an ALTAIR io 6 order that marked our largest MSA+ order to date. Together, these actions strengthen our safety technology portfolio, reinforce our market leadership, and enhance our ability to deliver sustainable long-term growth," Mr. Blanco added.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220"/>
          </w:cols>
          <w:pgMar w:left="320" w:top="873"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2C2C2C"/>
        </w:rPr>
        <w:t>Financial Highlights</w:t>
      </w:r>
    </w:p>
    <w:p>
      <w:pPr>
        <w:spacing w:after="0" w:line="378" w:lineRule="exact"/>
        <w:rPr>
          <w:sz w:val="20"/>
          <w:szCs w:val="20"/>
          <w:color w:val="auto"/>
        </w:rPr>
      </w:pPr>
    </w:p>
    <w:p>
      <w:pPr>
        <w:ind w:left="20"/>
        <w:spacing w:after="0" w:line="266" w:lineRule="auto"/>
        <w:rPr>
          <w:sz w:val="20"/>
          <w:szCs w:val="20"/>
          <w:color w:val="auto"/>
        </w:rPr>
      </w:pPr>
      <w:r>
        <w:rPr>
          <w:rFonts w:ascii="Arial" w:cs="Arial" w:eastAsia="Arial" w:hAnsi="Arial"/>
          <w:sz w:val="17"/>
          <w:szCs w:val="17"/>
          <w:i w:val="1"/>
          <w:iCs w:val="1"/>
          <w:color w:val="auto"/>
        </w:rPr>
        <w:t>(In millions, except per share data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91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20"/>
        <w:spacing w:after="0"/>
        <w:rPr>
          <w:sz w:val="20"/>
          <w:szCs w:val="20"/>
          <w:color w:val="auto"/>
        </w:rPr>
      </w:pPr>
      <w:r>
        <w:rPr>
          <w:rFonts w:ascii="Arial" w:cs="Arial" w:eastAsia="Arial" w:hAnsi="Arial"/>
          <w:sz w:val="22"/>
          <w:szCs w:val="22"/>
          <w:color w:val="242424"/>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2C2C2C"/>
              </w:rPr>
              <w:t>Three Months Ended September 30,</w:t>
            </w:r>
          </w:p>
        </w:tc>
        <w:tc>
          <w:tcPr>
            <w:tcW w:w="80" w:type="dxa"/>
            <w:vAlign w:val="bottom"/>
          </w:tcPr>
          <w:p>
            <w:pPr>
              <w:spacing w:after="0"/>
              <w:rPr>
                <w:sz w:val="20"/>
                <w:szCs w:val="20"/>
                <w:color w:val="auto"/>
              </w:rPr>
            </w:pPr>
          </w:p>
        </w:tc>
        <w:tc>
          <w:tcPr>
            <w:tcW w:w="41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2C2C2C"/>
              </w:rPr>
              <w:t>Nine Months Ended September 30,</w:t>
            </w:r>
          </w:p>
        </w:tc>
      </w:tr>
      <w:tr>
        <w:trPr>
          <w:trHeight w:val="449"/>
        </w:trPr>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(a)</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560" w:type="dxa"/>
            <w:vAlign w:val="bottom"/>
          </w:tcPr>
          <w:p>
            <w:pPr>
              <w:ind w:left="340"/>
              <w:spacing w:after="0"/>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-22860</wp:posOffset>
            </wp:positionV>
            <wp:extent cx="4406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20" w:space="220"/>
            <w:col w:w="8620"/>
          </w:cols>
          <w:pgMar w:left="320" w:top="127" w:right="419" w:bottom="1440" w:gutter="0" w:footer="0" w:header="0"/>
        </w:sectPr>
      </w:pPr>
    </w:p>
    <w:tbl>
      <w:tblPr>
        <w:tblLayout w:type="fixed"/>
        <w:tblInd w:w="0" w:type="dxa"/>
        <w:tblCellMar>
          <w:top w:w="0" w:type="dxa"/>
          <w:left w:w="0" w:type="dxa"/>
          <w:bottom w:w="0" w:type="dxa"/>
          <w:right w:w="0" w:type="dxa"/>
        </w:tblCellMar>
      </w:tblPr>
      <w:tr>
        <w:trPr>
          <w:trHeight w:val="250"/>
        </w:trPr>
        <w:tc>
          <w:tcPr>
            <w:tcW w:w="2520" w:type="dxa"/>
            <w:vAlign w:val="bottom"/>
          </w:tcPr>
          <w:p>
            <w:pPr>
              <w:ind w:left="20"/>
              <w:spacing w:after="0"/>
              <w:rPr>
                <w:sz w:val="20"/>
                <w:szCs w:val="20"/>
                <w:color w:val="auto"/>
              </w:rPr>
            </w:pPr>
            <w:r>
              <w:rPr>
                <w:rFonts w:ascii="Arial" w:cs="Arial" w:eastAsia="Arial" w:hAnsi="Arial"/>
                <w:sz w:val="20"/>
                <w:szCs w:val="20"/>
                <w:b w:val="1"/>
                <w:bCs w:val="1"/>
                <w:color w:val="auto"/>
              </w:rPr>
              <w:t>Net Sales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536.4</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468.4</w:t>
            </w: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1,503.4</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1,363.9</w:t>
            </w:r>
          </w:p>
        </w:tc>
        <w:tc>
          <w:tcPr>
            <w:tcW w:w="1100" w:type="dxa"/>
            <w:vAlign w:val="bottom"/>
          </w:tcPr>
          <w:p>
            <w:pPr>
              <w:jc w:val="right"/>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72"/>
        </w:trPr>
        <w:tc>
          <w:tcPr>
            <w:tcW w:w="2520" w:type="dxa"/>
            <w:vAlign w:val="bottom"/>
          </w:tcPr>
          <w:p>
            <w:pPr>
              <w:ind w:left="20"/>
              <w:spacing w:after="0"/>
              <w:rPr>
                <w:sz w:val="20"/>
                <w:szCs w:val="20"/>
                <w:color w:val="auto"/>
              </w:rPr>
            </w:pPr>
            <w:r>
              <w:rPr>
                <w:rFonts w:ascii="Arial" w:cs="Arial" w:eastAsia="Arial" w:hAnsi="Arial"/>
                <w:sz w:val="20"/>
                <w:szCs w:val="20"/>
                <w:b w:val="1"/>
                <w:bCs w:val="1"/>
                <w:color w:val="auto"/>
              </w:rPr>
              <w:t>GAAP</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520" w:type="dxa"/>
            <w:vAlign w:val="bottom"/>
          </w:tcPr>
          <w:p>
            <w:pPr>
              <w:ind w:left="180"/>
              <w:spacing w:after="0"/>
              <w:rPr>
                <w:sz w:val="20"/>
                <w:szCs w:val="20"/>
                <w:color w:val="auto"/>
              </w:rPr>
            </w:pPr>
            <w:r>
              <w:rPr>
                <w:rFonts w:ascii="Arial" w:cs="Arial" w:eastAsia="Arial" w:hAnsi="Arial"/>
                <w:sz w:val="20"/>
                <w:szCs w:val="20"/>
                <w:color w:val="auto"/>
              </w:rPr>
              <w:t>Operating income</w:t>
            </w:r>
          </w:p>
        </w:tc>
        <w:tc>
          <w:tcPr>
            <w:tcW w:w="320" w:type="dxa"/>
            <w:vAlign w:val="bottom"/>
          </w:tcPr>
          <w:p>
            <w:pPr>
              <w:spacing w:after="0"/>
              <w:rPr>
                <w:sz w:val="22"/>
                <w:szCs w:val="22"/>
                <w:color w:val="auto"/>
              </w:rPr>
            </w:pP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88.2</w:t>
            </w:r>
          </w:p>
        </w:tc>
        <w:tc>
          <w:tcPr>
            <w:tcW w:w="360" w:type="dxa"/>
            <w:vAlign w:val="bottom"/>
          </w:tcPr>
          <w:p>
            <w:pPr>
              <w:spacing w:after="0"/>
              <w:rPr>
                <w:sz w:val="22"/>
                <w:szCs w:val="22"/>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94.3</w:t>
            </w:r>
          </w:p>
        </w:tc>
        <w:tc>
          <w:tcPr>
            <w:tcW w:w="1200" w:type="dxa"/>
            <w:vAlign w:val="bottom"/>
          </w:tcPr>
          <w:p>
            <w:pPr>
              <w:jc w:val="right"/>
              <w:spacing w:after="0"/>
              <w:rPr>
                <w:sz w:val="20"/>
                <w:szCs w:val="20"/>
                <w:color w:val="auto"/>
              </w:rPr>
            </w:pPr>
            <w:r>
              <w:rPr>
                <w:rFonts w:ascii="Arial" w:cs="Arial" w:eastAsia="Arial" w:hAnsi="Arial"/>
                <w:sz w:val="20"/>
                <w:szCs w:val="20"/>
                <w:color w:val="auto"/>
              </w:rPr>
              <w:t>(6)%</w:t>
            </w:r>
          </w:p>
        </w:tc>
        <w:tc>
          <w:tcPr>
            <w:tcW w:w="300" w:type="dxa"/>
            <w:vAlign w:val="bottom"/>
          </w:tcPr>
          <w:p>
            <w:pPr>
              <w:spacing w:after="0"/>
              <w:rPr>
                <w:sz w:val="22"/>
                <w:szCs w:val="22"/>
                <w:color w:val="auto"/>
              </w:rPr>
            </w:pP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293.2</w:t>
            </w:r>
          </w:p>
        </w:tc>
        <w:tc>
          <w:tcPr>
            <w:tcW w:w="300" w:type="dxa"/>
            <w:vAlign w:val="bottom"/>
          </w:tcPr>
          <w:p>
            <w:pPr>
              <w:spacing w:after="0"/>
              <w:rPr>
                <w:sz w:val="22"/>
                <w:szCs w:val="22"/>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257.9</w:t>
            </w:r>
          </w:p>
        </w:tc>
        <w:tc>
          <w:tcPr>
            <w:tcW w:w="1100" w:type="dxa"/>
            <w:vAlign w:val="bottom"/>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i w:val="1"/>
                <w:iCs w:val="1"/>
                <w:color w:val="auto"/>
              </w:rPr>
              <w:t>% of Net sales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i w:val="1"/>
                <w:iCs w:val="1"/>
                <w:color w:val="auto"/>
              </w:rPr>
              <w:t>16.4 %</w:t>
            </w:r>
          </w:p>
        </w:tc>
        <w:tc>
          <w:tcPr>
            <w:tcW w:w="360" w:type="dxa"/>
            <w:vAlign w:val="bottom"/>
          </w:tcPr>
          <w:p>
            <w:pPr>
              <w:spacing w:after="0"/>
              <w:rPr>
                <w:sz w:val="23"/>
                <w:szCs w:val="23"/>
                <w:color w:val="auto"/>
              </w:rPr>
            </w:pPr>
          </w:p>
        </w:tc>
        <w:tc>
          <w:tcPr>
            <w:tcW w:w="1220" w:type="dxa"/>
            <w:vAlign w:val="bottom"/>
          </w:tcPr>
          <w:p>
            <w:pPr>
              <w:jc w:val="right"/>
              <w:ind w:right="221"/>
              <w:spacing w:after="0"/>
              <w:rPr>
                <w:sz w:val="20"/>
                <w:szCs w:val="20"/>
                <w:color w:val="auto"/>
              </w:rPr>
            </w:pPr>
            <w:r>
              <w:rPr>
                <w:rFonts w:ascii="Arial" w:cs="Arial" w:eastAsia="Arial" w:hAnsi="Arial"/>
                <w:sz w:val="20"/>
                <w:szCs w:val="20"/>
                <w:i w:val="1"/>
                <w:iCs w:val="1"/>
                <w:color w:val="auto"/>
              </w:rPr>
              <w:t>20.1 %</w:t>
            </w:r>
          </w:p>
        </w:tc>
        <w:tc>
          <w:tcPr>
            <w:tcW w:w="1200" w:type="dxa"/>
            <w:vAlign w:val="bottom"/>
          </w:tcPr>
          <w:p>
            <w:pPr>
              <w:jc w:val="right"/>
              <w:spacing w:after="0"/>
              <w:rPr>
                <w:sz w:val="20"/>
                <w:szCs w:val="20"/>
                <w:color w:val="auto"/>
              </w:rPr>
            </w:pPr>
            <w:r>
              <w:rPr>
                <w:rFonts w:ascii="Arial" w:cs="Arial" w:eastAsia="Arial" w:hAnsi="Arial"/>
                <w:sz w:val="20"/>
                <w:szCs w:val="20"/>
                <w:i w:val="1"/>
                <w:iCs w:val="1"/>
                <w:color w:val="auto"/>
              </w:rPr>
              <w:t>(370) bps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19.5 %</w:t>
            </w:r>
          </w:p>
        </w:tc>
        <w:tc>
          <w:tcPr>
            <w:tcW w:w="300" w:type="dxa"/>
            <w:vAlign w:val="bottom"/>
          </w:tcPr>
          <w:p>
            <w:pPr>
              <w:spacing w:after="0"/>
              <w:rPr>
                <w:sz w:val="23"/>
                <w:szCs w:val="23"/>
                <w:color w:val="auto"/>
              </w:rPr>
            </w:pPr>
          </w:p>
        </w:tc>
        <w:tc>
          <w:tcPr>
            <w:tcW w:w="1400" w:type="dxa"/>
            <w:vAlign w:val="bottom"/>
          </w:tcPr>
          <w:p>
            <w:pPr>
              <w:jc w:val="right"/>
              <w:ind w:right="281"/>
              <w:spacing w:after="0"/>
              <w:rPr>
                <w:sz w:val="20"/>
                <w:szCs w:val="20"/>
                <w:color w:val="auto"/>
              </w:rPr>
            </w:pPr>
            <w:r>
              <w:rPr>
                <w:rFonts w:ascii="Arial" w:cs="Arial" w:eastAsia="Arial" w:hAnsi="Arial"/>
                <w:sz w:val="20"/>
                <w:szCs w:val="20"/>
                <w:i w:val="1"/>
                <w:iCs w:val="1"/>
                <w:color w:val="auto"/>
              </w:rPr>
              <w:t>18.9 %</w:t>
            </w: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60 bps</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color w:val="auto"/>
              </w:rPr>
              <w:t>Net income</w:t>
            </w:r>
          </w:p>
        </w:tc>
        <w:tc>
          <w:tcPr>
            <w:tcW w:w="320" w:type="dxa"/>
            <w:vAlign w:val="bottom"/>
          </w:tcPr>
          <w:p>
            <w:pPr>
              <w:spacing w:after="0"/>
              <w:rPr>
                <w:sz w:val="23"/>
                <w:szCs w:val="23"/>
                <w:color w:val="auto"/>
              </w:rPr>
            </w:pP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58.4</w:t>
            </w:r>
          </w:p>
        </w:tc>
        <w:tc>
          <w:tcPr>
            <w:tcW w:w="360" w:type="dxa"/>
            <w:vAlign w:val="bottom"/>
          </w:tcPr>
          <w:p>
            <w:pPr>
              <w:spacing w:after="0"/>
              <w:rPr>
                <w:sz w:val="23"/>
                <w:szCs w:val="23"/>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69.6</w:t>
            </w:r>
          </w:p>
        </w:tc>
        <w:tc>
          <w:tcPr>
            <w:tcW w:w="1200" w:type="dxa"/>
            <w:vAlign w:val="bottom"/>
          </w:tcPr>
          <w:p>
            <w:pPr>
              <w:jc w:val="right"/>
              <w:spacing w:after="0"/>
              <w:rPr>
                <w:sz w:val="20"/>
                <w:szCs w:val="20"/>
                <w:color w:val="auto"/>
              </w:rPr>
            </w:pPr>
            <w:r>
              <w:rPr>
                <w:rFonts w:ascii="Arial" w:cs="Arial" w:eastAsia="Arial" w:hAnsi="Arial"/>
                <w:sz w:val="20"/>
                <w:szCs w:val="20"/>
                <w:color w:val="auto"/>
              </w:rPr>
              <w:t>(16)%</w:t>
            </w:r>
          </w:p>
        </w:tc>
        <w:tc>
          <w:tcPr>
            <w:tcW w:w="300" w:type="dxa"/>
            <w:vAlign w:val="bottom"/>
          </w:tcPr>
          <w:p>
            <w:pPr>
              <w:spacing w:after="0"/>
              <w:rPr>
                <w:sz w:val="23"/>
                <w:szCs w:val="23"/>
                <w:color w:val="auto"/>
              </w:rPr>
            </w:pP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215.9</w:t>
            </w:r>
          </w:p>
        </w:tc>
        <w:tc>
          <w:tcPr>
            <w:tcW w:w="300" w:type="dxa"/>
            <w:vAlign w:val="bottom"/>
          </w:tcPr>
          <w:p>
            <w:pPr>
              <w:spacing w:after="0"/>
              <w:rPr>
                <w:sz w:val="23"/>
                <w:szCs w:val="23"/>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192.0</w:t>
            </w:r>
          </w:p>
        </w:tc>
        <w:tc>
          <w:tcPr>
            <w:tcW w:w="1100" w:type="dxa"/>
            <w:vAlign w:val="bottom"/>
          </w:tcPr>
          <w:p>
            <w:pPr>
              <w:jc w:val="right"/>
              <w:spacing w:after="0"/>
              <w:rPr>
                <w:sz w:val="20"/>
                <w:szCs w:val="20"/>
                <w:color w:val="auto"/>
              </w:rPr>
            </w:pPr>
            <w:r>
              <w:rPr>
                <w:rFonts w:ascii="Arial" w:cs="Arial" w:eastAsia="Arial" w:hAnsi="Arial"/>
                <w:sz w:val="20"/>
                <w:szCs w:val="20"/>
                <w:color w:val="auto"/>
              </w:rPr>
              <w:t>12 %</w:t>
            </w:r>
          </w:p>
        </w:tc>
        <w:tc>
          <w:tcPr>
            <w:tcW w:w="0" w:type="dxa"/>
            <w:vAlign w:val="bottom"/>
          </w:tcPr>
          <w:p>
            <w:pPr>
              <w:spacing w:after="0"/>
              <w:rPr>
                <w:sz w:val="1"/>
                <w:szCs w:val="1"/>
                <w:color w:val="auto"/>
              </w:rPr>
            </w:pPr>
          </w:p>
        </w:tc>
      </w:tr>
      <w:tr>
        <w:trPr>
          <w:trHeight w:val="272"/>
        </w:trPr>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Diluted EPS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1.51</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1.77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5.57</w:t>
            </w: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4.87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71"/>
        </w:trPr>
        <w:tc>
          <w:tcPr>
            <w:tcW w:w="2520" w:type="dxa"/>
            <w:vAlign w:val="bottom"/>
          </w:tcPr>
          <w:p>
            <w:pPr>
              <w:ind w:left="20"/>
              <w:spacing w:after="0"/>
              <w:rPr>
                <w:sz w:val="20"/>
                <w:szCs w:val="20"/>
                <w:color w:val="auto"/>
              </w:rPr>
            </w:pPr>
            <w:r>
              <w:rPr>
                <w:rFonts w:ascii="Arial" w:cs="Arial" w:eastAsia="Arial" w:hAnsi="Arial"/>
                <w:sz w:val="20"/>
                <w:szCs w:val="20"/>
                <w:b w:val="1"/>
                <w:bCs w:val="1"/>
                <w:color w:val="auto"/>
              </w:rPr>
              <w:t>Non-GAAP</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520" w:type="dxa"/>
            <w:vAlign w:val="bottom"/>
          </w:tcPr>
          <w:p>
            <w:pPr>
              <w:ind w:left="180"/>
              <w:spacing w:after="0"/>
              <w:rPr>
                <w:sz w:val="20"/>
                <w:szCs w:val="20"/>
                <w:color w:val="auto"/>
              </w:rPr>
            </w:pPr>
            <w:r>
              <w:rPr>
                <w:rFonts w:ascii="Arial" w:cs="Arial" w:eastAsia="Arial" w:hAnsi="Arial"/>
                <w:sz w:val="20"/>
                <w:szCs w:val="20"/>
                <w:color w:val="auto"/>
              </w:rPr>
              <w:t>Adjusted EBITDA</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130.7</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118.9</w:t>
            </w:r>
          </w:p>
        </w:tc>
        <w:tc>
          <w:tcPr>
            <w:tcW w:w="1200" w:type="dxa"/>
            <w:vAlign w:val="bottom"/>
          </w:tcPr>
          <w:p>
            <w:pPr>
              <w:jc w:val="right"/>
              <w:spacing w:after="0"/>
              <w:rPr>
                <w:sz w:val="20"/>
                <w:szCs w:val="20"/>
                <w:color w:val="auto"/>
              </w:rPr>
            </w:pPr>
            <w:r>
              <w:rPr>
                <w:rFonts w:ascii="Arial" w:cs="Arial" w:eastAsia="Arial" w:hAnsi="Arial"/>
                <w:sz w:val="20"/>
                <w:szCs w:val="20"/>
                <w:color w:val="auto"/>
              </w:rPr>
              <w:t>10 %</w:t>
            </w:r>
          </w:p>
        </w:tc>
        <w:tc>
          <w:tcPr>
            <w:tcW w:w="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383.4</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336.9</w:t>
            </w:r>
          </w:p>
        </w:tc>
        <w:tc>
          <w:tcPr>
            <w:tcW w:w="1100" w:type="dxa"/>
            <w:vAlign w:val="bottom"/>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i w:val="1"/>
                <w:iCs w:val="1"/>
                <w:color w:val="auto"/>
              </w:rPr>
              <w:t>% of Net sales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i w:val="1"/>
                <w:iCs w:val="1"/>
                <w:color w:val="auto"/>
              </w:rPr>
              <w:t>24.4 %</w:t>
            </w:r>
          </w:p>
        </w:tc>
        <w:tc>
          <w:tcPr>
            <w:tcW w:w="360" w:type="dxa"/>
            <w:vAlign w:val="bottom"/>
          </w:tcPr>
          <w:p>
            <w:pPr>
              <w:spacing w:after="0"/>
              <w:rPr>
                <w:sz w:val="23"/>
                <w:szCs w:val="23"/>
                <w:color w:val="auto"/>
              </w:rPr>
            </w:pPr>
          </w:p>
        </w:tc>
        <w:tc>
          <w:tcPr>
            <w:tcW w:w="1220" w:type="dxa"/>
            <w:vAlign w:val="bottom"/>
          </w:tcPr>
          <w:p>
            <w:pPr>
              <w:jc w:val="right"/>
              <w:ind w:right="221"/>
              <w:spacing w:after="0"/>
              <w:rPr>
                <w:sz w:val="20"/>
                <w:szCs w:val="20"/>
                <w:color w:val="auto"/>
              </w:rPr>
            </w:pPr>
            <w:r>
              <w:rPr>
                <w:rFonts w:ascii="Arial" w:cs="Arial" w:eastAsia="Arial" w:hAnsi="Arial"/>
                <w:sz w:val="20"/>
                <w:szCs w:val="20"/>
                <w:i w:val="1"/>
                <w:iCs w:val="1"/>
                <w:color w:val="auto"/>
              </w:rPr>
              <w:t>25.4 %</w:t>
            </w:r>
          </w:p>
        </w:tc>
        <w:tc>
          <w:tcPr>
            <w:tcW w:w="1200" w:type="dxa"/>
            <w:vAlign w:val="bottom"/>
          </w:tcPr>
          <w:p>
            <w:pPr>
              <w:jc w:val="right"/>
              <w:spacing w:after="0"/>
              <w:rPr>
                <w:sz w:val="20"/>
                <w:szCs w:val="20"/>
                <w:color w:val="auto"/>
              </w:rPr>
            </w:pPr>
            <w:r>
              <w:rPr>
                <w:rFonts w:ascii="Arial" w:cs="Arial" w:eastAsia="Arial" w:hAnsi="Arial"/>
                <w:sz w:val="20"/>
                <w:szCs w:val="20"/>
                <w:i w:val="1"/>
                <w:iCs w:val="1"/>
                <w:color w:val="auto"/>
              </w:rPr>
              <w:t>(100) bps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25.5 %</w:t>
            </w:r>
          </w:p>
        </w:tc>
        <w:tc>
          <w:tcPr>
            <w:tcW w:w="300" w:type="dxa"/>
            <w:vAlign w:val="bottom"/>
          </w:tcPr>
          <w:p>
            <w:pPr>
              <w:spacing w:after="0"/>
              <w:rPr>
                <w:sz w:val="23"/>
                <w:szCs w:val="23"/>
                <w:color w:val="auto"/>
              </w:rPr>
            </w:pPr>
          </w:p>
        </w:tc>
        <w:tc>
          <w:tcPr>
            <w:tcW w:w="1400" w:type="dxa"/>
            <w:vAlign w:val="bottom"/>
          </w:tcPr>
          <w:p>
            <w:pPr>
              <w:jc w:val="right"/>
              <w:ind w:right="281"/>
              <w:spacing w:after="0"/>
              <w:rPr>
                <w:sz w:val="20"/>
                <w:szCs w:val="20"/>
                <w:color w:val="auto"/>
              </w:rPr>
            </w:pPr>
            <w:r>
              <w:rPr>
                <w:rFonts w:ascii="Arial" w:cs="Arial" w:eastAsia="Arial" w:hAnsi="Arial"/>
                <w:sz w:val="20"/>
                <w:szCs w:val="20"/>
                <w:i w:val="1"/>
                <w:iCs w:val="1"/>
                <w:color w:val="auto"/>
              </w:rPr>
              <w:t>24.7 %</w:t>
            </w: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80 bps</w:t>
            </w:r>
          </w:p>
        </w:tc>
        <w:tc>
          <w:tcPr>
            <w:tcW w:w="0" w:type="dxa"/>
            <w:vAlign w:val="bottom"/>
          </w:tcPr>
          <w:p>
            <w:pPr>
              <w:spacing w:after="0"/>
              <w:rPr>
                <w:sz w:val="1"/>
                <w:szCs w:val="1"/>
                <w:color w:val="auto"/>
              </w:rPr>
            </w:pPr>
          </w:p>
        </w:tc>
      </w:tr>
      <w:tr>
        <w:trPr>
          <w:trHeight w:val="211"/>
        </w:trPr>
        <w:tc>
          <w:tcPr>
            <w:tcW w:w="2520" w:type="dxa"/>
            <w:vAlign w:val="bottom"/>
          </w:tcPr>
          <w:p>
            <w:pPr>
              <w:ind w:left="180"/>
              <w:spacing w:after="0" w:line="211" w:lineRule="exact"/>
              <w:rPr>
                <w:sz w:val="20"/>
                <w:szCs w:val="20"/>
                <w:color w:val="auto"/>
              </w:rPr>
            </w:pPr>
            <w:r>
              <w:rPr>
                <w:rFonts w:ascii="Arial" w:cs="Arial" w:eastAsia="Arial" w:hAnsi="Arial"/>
                <w:sz w:val="20"/>
                <w:szCs w:val="20"/>
                <w:color w:val="auto"/>
              </w:rPr>
              <w:t>Adjusted operating</w:t>
            </w:r>
          </w:p>
        </w:tc>
        <w:tc>
          <w:tcPr>
            <w:tcW w:w="320" w:type="dxa"/>
            <w:vAlign w:val="bottom"/>
          </w:tcPr>
          <w:p>
            <w:pPr>
              <w:spacing w:after="0"/>
              <w:rPr>
                <w:sz w:val="18"/>
                <w:szCs w:val="18"/>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20"/>
                <w:szCs w:val="20"/>
                <w:color w:val="auto"/>
              </w:rPr>
              <w:t>114.9</w:t>
            </w:r>
          </w:p>
        </w:tc>
        <w:tc>
          <w:tcPr>
            <w:tcW w:w="360" w:type="dxa"/>
            <w:vAlign w:val="bottom"/>
          </w:tcPr>
          <w:p>
            <w:pPr>
              <w:spacing w:after="0"/>
              <w:rPr>
                <w:sz w:val="18"/>
                <w:szCs w:val="18"/>
                <w:color w:val="auto"/>
              </w:rPr>
            </w:pPr>
          </w:p>
        </w:tc>
        <w:tc>
          <w:tcPr>
            <w:tcW w:w="1220" w:type="dxa"/>
            <w:vAlign w:val="bottom"/>
            <w:vMerge w:val="restart"/>
          </w:tcPr>
          <w:p>
            <w:pPr>
              <w:jc w:val="right"/>
              <w:ind w:right="461"/>
              <w:spacing w:after="0"/>
              <w:rPr>
                <w:sz w:val="20"/>
                <w:szCs w:val="20"/>
                <w:color w:val="auto"/>
              </w:rPr>
            </w:pPr>
            <w:r>
              <w:rPr>
                <w:rFonts w:ascii="Arial" w:cs="Arial" w:eastAsia="Arial" w:hAnsi="Arial"/>
                <w:sz w:val="20"/>
                <w:szCs w:val="20"/>
                <w:color w:val="auto"/>
              </w:rPr>
              <w:t>103.7</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11 %</w:t>
            </w:r>
          </w:p>
        </w:tc>
        <w:tc>
          <w:tcPr>
            <w:tcW w:w="300" w:type="dxa"/>
            <w:vAlign w:val="bottom"/>
          </w:tcPr>
          <w:p>
            <w:pPr>
              <w:spacing w:after="0"/>
              <w:rPr>
                <w:sz w:val="18"/>
                <w:szCs w:val="18"/>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20"/>
                <w:szCs w:val="20"/>
                <w:color w:val="auto"/>
              </w:rPr>
              <w:t>337.2</w:t>
            </w:r>
          </w:p>
        </w:tc>
        <w:tc>
          <w:tcPr>
            <w:tcW w:w="300" w:type="dxa"/>
            <w:vAlign w:val="bottom"/>
          </w:tcPr>
          <w:p>
            <w:pPr>
              <w:spacing w:after="0"/>
              <w:rPr>
                <w:sz w:val="18"/>
                <w:szCs w:val="18"/>
                <w:color w:val="auto"/>
              </w:rPr>
            </w:pPr>
          </w:p>
        </w:tc>
        <w:tc>
          <w:tcPr>
            <w:tcW w:w="1400" w:type="dxa"/>
            <w:vAlign w:val="bottom"/>
            <w:vMerge w:val="restart"/>
          </w:tcPr>
          <w:p>
            <w:pPr>
              <w:jc w:val="right"/>
              <w:ind w:right="521"/>
              <w:spacing w:after="0"/>
              <w:rPr>
                <w:sz w:val="20"/>
                <w:szCs w:val="20"/>
                <w:color w:val="auto"/>
              </w:rPr>
            </w:pPr>
            <w:r>
              <w:rPr>
                <w:rFonts w:ascii="Arial" w:cs="Arial" w:eastAsia="Arial" w:hAnsi="Arial"/>
                <w:sz w:val="20"/>
                <w:szCs w:val="20"/>
                <w:color w:val="auto"/>
              </w:rPr>
              <w:t>292.7</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15 %</w:t>
            </w:r>
          </w:p>
        </w:tc>
        <w:tc>
          <w:tcPr>
            <w:tcW w:w="0" w:type="dxa"/>
            <w:vAlign w:val="bottom"/>
          </w:tcPr>
          <w:p>
            <w:pPr>
              <w:spacing w:after="0"/>
              <w:rPr>
                <w:sz w:val="1"/>
                <w:szCs w:val="1"/>
                <w:color w:val="auto"/>
              </w:rPr>
            </w:pPr>
          </w:p>
        </w:tc>
      </w:tr>
      <w:tr>
        <w:trPr>
          <w:trHeight w:val="256"/>
        </w:trPr>
        <w:tc>
          <w:tcPr>
            <w:tcW w:w="2520" w:type="dxa"/>
            <w:vAlign w:val="bottom"/>
          </w:tcPr>
          <w:p>
            <w:pPr>
              <w:ind w:left="180"/>
              <w:spacing w:after="0"/>
              <w:rPr>
                <w:sz w:val="20"/>
                <w:szCs w:val="20"/>
                <w:color w:val="auto"/>
              </w:rPr>
            </w:pPr>
            <w:r>
              <w:rPr>
                <w:rFonts w:ascii="Arial" w:cs="Arial" w:eastAsia="Arial" w:hAnsi="Arial"/>
                <w:sz w:val="20"/>
                <w:szCs w:val="20"/>
                <w:color w:val="auto"/>
              </w:rPr>
              <w:t>income</w:t>
            </w: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520" w:type="dxa"/>
            <w:vAlign w:val="bottom"/>
          </w:tcPr>
          <w:p>
            <w:pPr>
              <w:ind w:left="180"/>
              <w:spacing w:after="0"/>
              <w:rPr>
                <w:sz w:val="20"/>
                <w:szCs w:val="20"/>
                <w:color w:val="auto"/>
              </w:rPr>
            </w:pPr>
            <w:r>
              <w:rPr>
                <w:rFonts w:ascii="Arial" w:cs="Arial" w:eastAsia="Arial" w:hAnsi="Arial"/>
                <w:sz w:val="20"/>
                <w:szCs w:val="20"/>
                <w:i w:val="1"/>
                <w:iCs w:val="1"/>
                <w:color w:val="auto"/>
              </w:rPr>
              <w:t>% of Net sales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i w:val="1"/>
                <w:iCs w:val="1"/>
                <w:color w:val="auto"/>
              </w:rPr>
              <w:t>21.4 %</w:t>
            </w:r>
          </w:p>
        </w:tc>
        <w:tc>
          <w:tcPr>
            <w:tcW w:w="360" w:type="dxa"/>
            <w:vAlign w:val="bottom"/>
          </w:tcPr>
          <w:p>
            <w:pPr>
              <w:spacing w:after="0"/>
              <w:rPr>
                <w:sz w:val="22"/>
                <w:szCs w:val="22"/>
                <w:color w:val="auto"/>
              </w:rPr>
            </w:pPr>
          </w:p>
        </w:tc>
        <w:tc>
          <w:tcPr>
            <w:tcW w:w="1220" w:type="dxa"/>
            <w:vAlign w:val="bottom"/>
          </w:tcPr>
          <w:p>
            <w:pPr>
              <w:jc w:val="right"/>
              <w:ind w:right="221"/>
              <w:spacing w:after="0"/>
              <w:rPr>
                <w:sz w:val="20"/>
                <w:szCs w:val="20"/>
                <w:color w:val="auto"/>
              </w:rPr>
            </w:pPr>
            <w:r>
              <w:rPr>
                <w:rFonts w:ascii="Arial" w:cs="Arial" w:eastAsia="Arial" w:hAnsi="Arial"/>
                <w:sz w:val="20"/>
                <w:szCs w:val="20"/>
                <w:i w:val="1"/>
                <w:iCs w:val="1"/>
                <w:color w:val="auto"/>
              </w:rPr>
              <w:t>22.1 %</w:t>
            </w:r>
          </w:p>
        </w:tc>
        <w:tc>
          <w:tcPr>
            <w:tcW w:w="1200" w:type="dxa"/>
            <w:vAlign w:val="bottom"/>
          </w:tcPr>
          <w:p>
            <w:pPr>
              <w:jc w:val="right"/>
              <w:spacing w:after="0"/>
              <w:rPr>
                <w:sz w:val="20"/>
                <w:szCs w:val="20"/>
                <w:color w:val="auto"/>
              </w:rPr>
            </w:pPr>
            <w:r>
              <w:rPr>
                <w:rFonts w:ascii="Arial" w:cs="Arial" w:eastAsia="Arial" w:hAnsi="Arial"/>
                <w:sz w:val="20"/>
                <w:szCs w:val="20"/>
                <w:i w:val="1"/>
                <w:iCs w:val="1"/>
                <w:color w:val="auto"/>
              </w:rPr>
              <w:t>(70) bps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22.4 %</w:t>
            </w:r>
          </w:p>
        </w:tc>
        <w:tc>
          <w:tcPr>
            <w:tcW w:w="300" w:type="dxa"/>
            <w:vAlign w:val="bottom"/>
          </w:tcPr>
          <w:p>
            <w:pPr>
              <w:spacing w:after="0"/>
              <w:rPr>
                <w:sz w:val="22"/>
                <w:szCs w:val="22"/>
                <w:color w:val="auto"/>
              </w:rPr>
            </w:pPr>
          </w:p>
        </w:tc>
        <w:tc>
          <w:tcPr>
            <w:tcW w:w="1400" w:type="dxa"/>
            <w:vAlign w:val="bottom"/>
          </w:tcPr>
          <w:p>
            <w:pPr>
              <w:jc w:val="right"/>
              <w:ind w:right="281"/>
              <w:spacing w:after="0"/>
              <w:rPr>
                <w:sz w:val="20"/>
                <w:szCs w:val="20"/>
                <w:color w:val="auto"/>
              </w:rPr>
            </w:pPr>
            <w:r>
              <w:rPr>
                <w:rFonts w:ascii="Arial" w:cs="Arial" w:eastAsia="Arial" w:hAnsi="Arial"/>
                <w:sz w:val="20"/>
                <w:szCs w:val="20"/>
                <w:i w:val="1"/>
                <w:iCs w:val="1"/>
                <w:color w:val="auto"/>
              </w:rPr>
              <w:t>21.5 %</w:t>
            </w: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90 bps</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color w:val="auto"/>
              </w:rPr>
              <w:t>Adjusted earnings</w:t>
            </w:r>
          </w:p>
        </w:tc>
        <w:tc>
          <w:tcPr>
            <w:tcW w:w="320" w:type="dxa"/>
            <w:vAlign w:val="bottom"/>
          </w:tcPr>
          <w:p>
            <w:pPr>
              <w:spacing w:after="0"/>
              <w:rPr>
                <w:sz w:val="23"/>
                <w:szCs w:val="23"/>
                <w:color w:val="auto"/>
              </w:rPr>
            </w:pP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80.6</w:t>
            </w:r>
          </w:p>
        </w:tc>
        <w:tc>
          <w:tcPr>
            <w:tcW w:w="360" w:type="dxa"/>
            <w:vAlign w:val="bottom"/>
          </w:tcPr>
          <w:p>
            <w:pPr>
              <w:spacing w:after="0"/>
              <w:rPr>
                <w:sz w:val="23"/>
                <w:szCs w:val="23"/>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76.2</w:t>
            </w:r>
          </w:p>
        </w:tc>
        <w:tc>
          <w:tcPr>
            <w:tcW w:w="1200" w:type="dxa"/>
            <w:vAlign w:val="bottom"/>
          </w:tcPr>
          <w:p>
            <w:pPr>
              <w:jc w:val="right"/>
              <w:spacing w:after="0"/>
              <w:rPr>
                <w:sz w:val="20"/>
                <w:szCs w:val="20"/>
                <w:color w:val="auto"/>
              </w:rPr>
            </w:pPr>
            <w:r>
              <w:rPr>
                <w:rFonts w:ascii="Arial" w:cs="Arial" w:eastAsia="Arial" w:hAnsi="Arial"/>
                <w:sz w:val="20"/>
                <w:szCs w:val="20"/>
                <w:color w:val="auto"/>
              </w:rPr>
              <w:t>6 %</w:t>
            </w:r>
          </w:p>
        </w:tc>
        <w:tc>
          <w:tcPr>
            <w:tcW w:w="300" w:type="dxa"/>
            <w:vAlign w:val="bottom"/>
          </w:tcPr>
          <w:p>
            <w:pPr>
              <w:spacing w:after="0"/>
              <w:rPr>
                <w:sz w:val="23"/>
                <w:szCs w:val="23"/>
                <w:color w:val="auto"/>
              </w:rPr>
            </w:pP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251.2</w:t>
            </w:r>
          </w:p>
        </w:tc>
        <w:tc>
          <w:tcPr>
            <w:tcW w:w="300" w:type="dxa"/>
            <w:vAlign w:val="bottom"/>
          </w:tcPr>
          <w:p>
            <w:pPr>
              <w:spacing w:after="0"/>
              <w:rPr>
                <w:sz w:val="23"/>
                <w:szCs w:val="23"/>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218.6</w:t>
            </w:r>
          </w:p>
        </w:tc>
        <w:tc>
          <w:tcPr>
            <w:tcW w:w="1100" w:type="dxa"/>
            <w:vAlign w:val="bottom"/>
          </w:tcPr>
          <w:p>
            <w:pPr>
              <w:jc w:val="right"/>
              <w:spacing w:after="0"/>
              <w:rPr>
                <w:sz w:val="20"/>
                <w:szCs w:val="20"/>
                <w:color w:val="auto"/>
              </w:rPr>
            </w:pPr>
            <w:r>
              <w:rPr>
                <w:rFonts w:ascii="Arial" w:cs="Arial" w:eastAsia="Arial" w:hAnsi="Arial"/>
                <w:sz w:val="20"/>
                <w:szCs w:val="20"/>
                <w:color w:val="auto"/>
              </w:rPr>
              <w:t>15 %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color w:val="auto"/>
              </w:rPr>
              <w:t>Adjusted diluted EPS</w:t>
            </w:r>
          </w:p>
        </w:tc>
        <w:tc>
          <w:tcPr>
            <w:tcW w:w="320" w:type="dxa"/>
            <w:vAlign w:val="bottom"/>
          </w:tcPr>
          <w:p>
            <w:pPr>
              <w:spacing w:after="0"/>
              <w:rPr>
                <w:sz w:val="23"/>
                <w:szCs w:val="23"/>
                <w:color w:val="auto"/>
              </w:rPr>
            </w:pP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2.09</w:t>
            </w:r>
          </w:p>
        </w:tc>
        <w:tc>
          <w:tcPr>
            <w:tcW w:w="360" w:type="dxa"/>
            <w:vAlign w:val="bottom"/>
          </w:tcPr>
          <w:p>
            <w:pPr>
              <w:spacing w:after="0"/>
              <w:rPr>
                <w:sz w:val="23"/>
                <w:szCs w:val="23"/>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1.94</w:t>
            </w:r>
          </w:p>
        </w:tc>
        <w:tc>
          <w:tcPr>
            <w:tcW w:w="1200" w:type="dxa"/>
            <w:vAlign w:val="bottom"/>
          </w:tcPr>
          <w:p>
            <w:pPr>
              <w:jc w:val="right"/>
              <w:spacing w:after="0"/>
              <w:rPr>
                <w:sz w:val="20"/>
                <w:szCs w:val="20"/>
                <w:color w:val="auto"/>
              </w:rPr>
            </w:pPr>
            <w:r>
              <w:rPr>
                <w:rFonts w:ascii="Arial" w:cs="Arial" w:eastAsia="Arial" w:hAnsi="Arial"/>
                <w:sz w:val="20"/>
                <w:szCs w:val="20"/>
                <w:color w:val="auto"/>
              </w:rPr>
              <w:t>8 %</w:t>
            </w:r>
          </w:p>
        </w:tc>
        <w:tc>
          <w:tcPr>
            <w:tcW w:w="300" w:type="dxa"/>
            <w:vAlign w:val="bottom"/>
          </w:tcPr>
          <w:p>
            <w:pPr>
              <w:spacing w:after="0"/>
              <w:rPr>
                <w:sz w:val="23"/>
                <w:szCs w:val="23"/>
                <w:color w:val="auto"/>
              </w:rPr>
            </w:pP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6.48</w:t>
            </w:r>
          </w:p>
        </w:tc>
        <w:tc>
          <w:tcPr>
            <w:tcW w:w="300" w:type="dxa"/>
            <w:vAlign w:val="bottom"/>
          </w:tcPr>
          <w:p>
            <w:pPr>
              <w:spacing w:after="0"/>
              <w:rPr>
                <w:sz w:val="23"/>
                <w:szCs w:val="23"/>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5.55</w:t>
            </w:r>
          </w:p>
        </w:tc>
        <w:tc>
          <w:tcPr>
            <w:tcW w:w="1100" w:type="dxa"/>
            <w:vAlign w:val="bottom"/>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color w:val="auto"/>
              </w:rPr>
              <w:t>Free cash flow</w:t>
            </w:r>
          </w:p>
        </w:tc>
        <w:tc>
          <w:tcPr>
            <w:tcW w:w="320" w:type="dxa"/>
            <w:vAlign w:val="bottom"/>
          </w:tcPr>
          <w:p>
            <w:pPr>
              <w:spacing w:after="0"/>
              <w:rPr>
                <w:sz w:val="23"/>
                <w:szCs w:val="23"/>
                <w:color w:val="auto"/>
              </w:rPr>
            </w:pP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68.2</w:t>
            </w:r>
          </w:p>
        </w:tc>
        <w:tc>
          <w:tcPr>
            <w:tcW w:w="360" w:type="dxa"/>
            <w:vAlign w:val="bottom"/>
          </w:tcPr>
          <w:p>
            <w:pPr>
              <w:spacing w:after="0"/>
              <w:rPr>
                <w:sz w:val="23"/>
                <w:szCs w:val="23"/>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100.5</w:t>
            </w:r>
          </w:p>
        </w:tc>
        <w:tc>
          <w:tcPr>
            <w:tcW w:w="1200" w:type="dxa"/>
            <w:vAlign w:val="bottom"/>
          </w:tcPr>
          <w:p>
            <w:pPr>
              <w:jc w:val="right"/>
              <w:spacing w:after="0"/>
              <w:rPr>
                <w:sz w:val="20"/>
                <w:szCs w:val="20"/>
                <w:color w:val="auto"/>
              </w:rPr>
            </w:pPr>
            <w:r>
              <w:rPr>
                <w:rFonts w:ascii="Arial" w:cs="Arial" w:eastAsia="Arial" w:hAnsi="Arial"/>
                <w:sz w:val="20"/>
                <w:szCs w:val="20"/>
                <w:color w:val="auto"/>
              </w:rPr>
              <w:t>(32)%</w:t>
            </w:r>
          </w:p>
        </w:tc>
        <w:tc>
          <w:tcPr>
            <w:tcW w:w="300" w:type="dxa"/>
            <w:vAlign w:val="bottom"/>
          </w:tcPr>
          <w:p>
            <w:pPr>
              <w:spacing w:after="0"/>
              <w:rPr>
                <w:sz w:val="23"/>
                <w:szCs w:val="23"/>
                <w:color w:val="auto"/>
              </w:rPr>
            </w:pP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216.0</w:t>
            </w:r>
          </w:p>
        </w:tc>
        <w:tc>
          <w:tcPr>
            <w:tcW w:w="300" w:type="dxa"/>
            <w:vAlign w:val="bottom"/>
          </w:tcPr>
          <w:p>
            <w:pPr>
              <w:spacing w:after="0"/>
              <w:rPr>
                <w:sz w:val="23"/>
                <w:szCs w:val="23"/>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189.4</w:t>
            </w:r>
          </w:p>
        </w:tc>
        <w:tc>
          <w:tcPr>
            <w:tcW w:w="1100" w:type="dxa"/>
            <w:vAlign w:val="bottom"/>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72"/>
        </w:trPr>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20"/>
                <w:szCs w:val="20"/>
                <w:i w:val="1"/>
                <w:iCs w:val="1"/>
                <w:color w:val="auto"/>
                <w:w w:val="99"/>
              </w:rPr>
              <w:t>Free cash flow conversion</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117 %</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i w:val="1"/>
                <w:iCs w:val="1"/>
                <w:color w:val="auto"/>
              </w:rPr>
              <w:t>144 %</w:t>
            </w:r>
          </w:p>
        </w:tc>
        <w:tc>
          <w:tcPr>
            <w:tcW w:w="12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100 %</w:t>
            </w: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i w:val="1"/>
                <w:iCs w:val="1"/>
                <w:color w:val="auto"/>
              </w:rPr>
              <w:t>99 %</w:t>
            </w: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520" w:type="dxa"/>
            <w:vAlign w:val="bottom"/>
          </w:tcPr>
          <w:p>
            <w:pPr>
              <w:ind w:left="20"/>
              <w:spacing w:after="0"/>
              <w:rPr>
                <w:sz w:val="20"/>
                <w:szCs w:val="20"/>
                <w:color w:val="auto"/>
              </w:rPr>
            </w:pPr>
            <w:r>
              <w:rPr>
                <w:rFonts w:ascii="Arial" w:cs="Arial" w:eastAsia="Arial" w:hAnsi="Arial"/>
                <w:sz w:val="20"/>
                <w:szCs w:val="20"/>
                <w:b w:val="1"/>
                <w:bCs w:val="1"/>
                <w:color w:val="auto"/>
              </w:rPr>
              <w:t>Americas Segment</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520" w:type="dxa"/>
            <w:vAlign w:val="bottom"/>
          </w:tcPr>
          <w:p>
            <w:pPr>
              <w:ind w:left="180"/>
              <w:spacing w:after="0"/>
              <w:rPr>
                <w:sz w:val="20"/>
                <w:szCs w:val="20"/>
                <w:color w:val="auto"/>
              </w:rPr>
            </w:pPr>
            <w:r>
              <w:rPr>
                <w:rFonts w:ascii="Arial" w:cs="Arial" w:eastAsia="Arial" w:hAnsi="Arial"/>
                <w:sz w:val="20"/>
                <w:szCs w:val="20"/>
                <w:color w:val="auto"/>
              </w:rPr>
              <w:t>Net sales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338.2</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313.3</w:t>
            </w:r>
          </w:p>
        </w:tc>
        <w:tc>
          <w:tcPr>
            <w:tcW w:w="1200" w:type="dxa"/>
            <w:vAlign w:val="bottom"/>
          </w:tcPr>
          <w:p>
            <w:pPr>
              <w:jc w:val="right"/>
              <w:spacing w:after="0"/>
              <w:rPr>
                <w:sz w:val="20"/>
                <w:szCs w:val="20"/>
                <w:color w:val="auto"/>
              </w:rPr>
            </w:pPr>
            <w:r>
              <w:rPr>
                <w:rFonts w:ascii="Arial" w:cs="Arial" w:eastAsia="Arial" w:hAnsi="Arial"/>
                <w:sz w:val="20"/>
                <w:szCs w:val="20"/>
                <w:color w:val="auto"/>
              </w:rPr>
              <w:t>8 %</w:t>
            </w:r>
          </w:p>
        </w:tc>
        <w:tc>
          <w:tcPr>
            <w:tcW w:w="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1,004.9</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926.6</w:t>
            </w:r>
          </w:p>
        </w:tc>
        <w:tc>
          <w:tcPr>
            <w:tcW w:w="1100" w:type="dxa"/>
            <w:vAlign w:val="bottom"/>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color w:val="auto"/>
              </w:rPr>
              <w:t>GAAP operating income</w:t>
            </w:r>
          </w:p>
        </w:tc>
        <w:tc>
          <w:tcPr>
            <w:tcW w:w="320" w:type="dxa"/>
            <w:vAlign w:val="bottom"/>
          </w:tcPr>
          <w:p>
            <w:pPr>
              <w:spacing w:after="0"/>
              <w:rPr>
                <w:sz w:val="23"/>
                <w:szCs w:val="23"/>
                <w:color w:val="auto"/>
              </w:rPr>
            </w:pP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93.9</w:t>
            </w:r>
          </w:p>
        </w:tc>
        <w:tc>
          <w:tcPr>
            <w:tcW w:w="360" w:type="dxa"/>
            <w:vAlign w:val="bottom"/>
          </w:tcPr>
          <w:p>
            <w:pPr>
              <w:spacing w:after="0"/>
              <w:rPr>
                <w:sz w:val="23"/>
                <w:szCs w:val="23"/>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86.7</w:t>
            </w:r>
          </w:p>
        </w:tc>
        <w:tc>
          <w:tcPr>
            <w:tcW w:w="1200" w:type="dxa"/>
            <w:vAlign w:val="bottom"/>
          </w:tcPr>
          <w:p>
            <w:pPr>
              <w:jc w:val="right"/>
              <w:spacing w:after="0"/>
              <w:rPr>
                <w:sz w:val="20"/>
                <w:szCs w:val="20"/>
                <w:color w:val="auto"/>
              </w:rPr>
            </w:pPr>
            <w:r>
              <w:rPr>
                <w:rFonts w:ascii="Arial" w:cs="Arial" w:eastAsia="Arial" w:hAnsi="Arial"/>
                <w:sz w:val="20"/>
                <w:szCs w:val="20"/>
                <w:color w:val="auto"/>
              </w:rPr>
              <w:t>8 %</w:t>
            </w:r>
          </w:p>
        </w:tc>
        <w:tc>
          <w:tcPr>
            <w:tcW w:w="300" w:type="dxa"/>
            <w:vAlign w:val="bottom"/>
          </w:tcPr>
          <w:p>
            <w:pPr>
              <w:spacing w:after="0"/>
              <w:rPr>
                <w:sz w:val="23"/>
                <w:szCs w:val="23"/>
                <w:color w:val="auto"/>
              </w:rPr>
            </w:pP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295.8</w:t>
            </w:r>
          </w:p>
        </w:tc>
        <w:tc>
          <w:tcPr>
            <w:tcW w:w="300" w:type="dxa"/>
            <w:vAlign w:val="bottom"/>
          </w:tcPr>
          <w:p>
            <w:pPr>
              <w:spacing w:after="0"/>
              <w:rPr>
                <w:sz w:val="23"/>
                <w:szCs w:val="23"/>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254.5</w:t>
            </w:r>
          </w:p>
        </w:tc>
        <w:tc>
          <w:tcPr>
            <w:tcW w:w="1100" w:type="dxa"/>
            <w:vAlign w:val="bottom"/>
          </w:tcPr>
          <w:p>
            <w:pPr>
              <w:jc w:val="right"/>
              <w:spacing w:after="0"/>
              <w:rPr>
                <w:sz w:val="20"/>
                <w:szCs w:val="20"/>
                <w:color w:val="auto"/>
              </w:rPr>
            </w:pPr>
            <w:r>
              <w:rPr>
                <w:rFonts w:ascii="Arial" w:cs="Arial" w:eastAsia="Arial" w:hAnsi="Arial"/>
                <w:sz w:val="20"/>
                <w:szCs w:val="20"/>
                <w:color w:val="auto"/>
              </w:rPr>
              <w:t>16 %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i w:val="1"/>
                <w:iCs w:val="1"/>
                <w:color w:val="auto"/>
              </w:rPr>
              <w:t>% of Net sales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i w:val="1"/>
                <w:iCs w:val="1"/>
                <w:color w:val="auto"/>
              </w:rPr>
              <w:t>27.8 %</w:t>
            </w:r>
          </w:p>
        </w:tc>
        <w:tc>
          <w:tcPr>
            <w:tcW w:w="360" w:type="dxa"/>
            <w:vAlign w:val="bottom"/>
          </w:tcPr>
          <w:p>
            <w:pPr>
              <w:spacing w:after="0"/>
              <w:rPr>
                <w:sz w:val="23"/>
                <w:szCs w:val="23"/>
                <w:color w:val="auto"/>
              </w:rPr>
            </w:pPr>
          </w:p>
        </w:tc>
        <w:tc>
          <w:tcPr>
            <w:tcW w:w="1220" w:type="dxa"/>
            <w:vAlign w:val="bottom"/>
          </w:tcPr>
          <w:p>
            <w:pPr>
              <w:jc w:val="right"/>
              <w:ind w:right="221"/>
              <w:spacing w:after="0"/>
              <w:rPr>
                <w:sz w:val="20"/>
                <w:szCs w:val="20"/>
                <w:color w:val="auto"/>
              </w:rPr>
            </w:pPr>
            <w:r>
              <w:rPr>
                <w:rFonts w:ascii="Arial" w:cs="Arial" w:eastAsia="Arial" w:hAnsi="Arial"/>
                <w:sz w:val="20"/>
                <w:szCs w:val="20"/>
                <w:i w:val="1"/>
                <w:iCs w:val="1"/>
                <w:color w:val="auto"/>
              </w:rPr>
              <w:t>27.7 %</w:t>
            </w:r>
          </w:p>
        </w:tc>
        <w:tc>
          <w:tcPr>
            <w:tcW w:w="1200" w:type="dxa"/>
            <w:vAlign w:val="bottom"/>
          </w:tcPr>
          <w:p>
            <w:pPr>
              <w:jc w:val="right"/>
              <w:spacing w:after="0"/>
              <w:rPr>
                <w:sz w:val="20"/>
                <w:szCs w:val="20"/>
                <w:color w:val="auto"/>
              </w:rPr>
            </w:pPr>
            <w:r>
              <w:rPr>
                <w:rFonts w:ascii="Arial" w:cs="Arial" w:eastAsia="Arial" w:hAnsi="Arial"/>
                <w:sz w:val="20"/>
                <w:szCs w:val="20"/>
                <w:i w:val="1"/>
                <w:iCs w:val="1"/>
                <w:color w:val="auto"/>
              </w:rPr>
              <w:t>10 bps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29.4 %</w:t>
            </w:r>
          </w:p>
        </w:tc>
        <w:tc>
          <w:tcPr>
            <w:tcW w:w="300" w:type="dxa"/>
            <w:vAlign w:val="bottom"/>
          </w:tcPr>
          <w:p>
            <w:pPr>
              <w:spacing w:after="0"/>
              <w:rPr>
                <w:sz w:val="23"/>
                <w:szCs w:val="23"/>
                <w:color w:val="auto"/>
              </w:rPr>
            </w:pPr>
          </w:p>
        </w:tc>
        <w:tc>
          <w:tcPr>
            <w:tcW w:w="1400" w:type="dxa"/>
            <w:vAlign w:val="bottom"/>
          </w:tcPr>
          <w:p>
            <w:pPr>
              <w:jc w:val="right"/>
              <w:ind w:right="281"/>
              <w:spacing w:after="0"/>
              <w:rPr>
                <w:sz w:val="20"/>
                <w:szCs w:val="20"/>
                <w:color w:val="auto"/>
              </w:rPr>
            </w:pPr>
            <w:r>
              <w:rPr>
                <w:rFonts w:ascii="Arial" w:cs="Arial" w:eastAsia="Arial" w:hAnsi="Arial"/>
                <w:sz w:val="20"/>
                <w:szCs w:val="20"/>
                <w:i w:val="1"/>
                <w:iCs w:val="1"/>
                <w:color w:val="auto"/>
              </w:rPr>
              <w:t>27.5 %</w:t>
            </w: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190 bps</w:t>
            </w:r>
          </w:p>
        </w:tc>
        <w:tc>
          <w:tcPr>
            <w:tcW w:w="0" w:type="dxa"/>
            <w:vAlign w:val="bottom"/>
          </w:tcPr>
          <w:p>
            <w:pPr>
              <w:spacing w:after="0"/>
              <w:rPr>
                <w:sz w:val="1"/>
                <w:szCs w:val="1"/>
                <w:color w:val="auto"/>
              </w:rPr>
            </w:pPr>
          </w:p>
        </w:tc>
      </w:tr>
      <w:tr>
        <w:trPr>
          <w:trHeight w:val="211"/>
        </w:trPr>
        <w:tc>
          <w:tcPr>
            <w:tcW w:w="2520" w:type="dxa"/>
            <w:vAlign w:val="bottom"/>
          </w:tcPr>
          <w:p>
            <w:pPr>
              <w:ind w:left="180"/>
              <w:spacing w:after="0" w:line="211" w:lineRule="exact"/>
              <w:rPr>
                <w:sz w:val="20"/>
                <w:szCs w:val="20"/>
                <w:color w:val="auto"/>
              </w:rPr>
            </w:pPr>
            <w:r>
              <w:rPr>
                <w:rFonts w:ascii="Arial" w:cs="Arial" w:eastAsia="Arial" w:hAnsi="Arial"/>
                <w:sz w:val="20"/>
                <w:szCs w:val="20"/>
                <w:color w:val="auto"/>
              </w:rPr>
              <w:t>Adjusted operating</w:t>
            </w:r>
          </w:p>
        </w:tc>
        <w:tc>
          <w:tcPr>
            <w:tcW w:w="320" w:type="dxa"/>
            <w:vAlign w:val="bottom"/>
          </w:tcPr>
          <w:p>
            <w:pPr>
              <w:spacing w:after="0"/>
              <w:rPr>
                <w:sz w:val="18"/>
                <w:szCs w:val="18"/>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20"/>
                <w:szCs w:val="20"/>
                <w:color w:val="auto"/>
              </w:rPr>
              <w:t>96.7</w:t>
            </w:r>
          </w:p>
        </w:tc>
        <w:tc>
          <w:tcPr>
            <w:tcW w:w="360" w:type="dxa"/>
            <w:vAlign w:val="bottom"/>
          </w:tcPr>
          <w:p>
            <w:pPr>
              <w:spacing w:after="0"/>
              <w:rPr>
                <w:sz w:val="18"/>
                <w:szCs w:val="18"/>
                <w:color w:val="auto"/>
              </w:rPr>
            </w:pPr>
          </w:p>
        </w:tc>
        <w:tc>
          <w:tcPr>
            <w:tcW w:w="1220" w:type="dxa"/>
            <w:vAlign w:val="bottom"/>
            <w:vMerge w:val="restart"/>
          </w:tcPr>
          <w:p>
            <w:pPr>
              <w:jc w:val="right"/>
              <w:ind w:right="461"/>
              <w:spacing w:after="0"/>
              <w:rPr>
                <w:sz w:val="20"/>
                <w:szCs w:val="20"/>
                <w:color w:val="auto"/>
              </w:rPr>
            </w:pPr>
            <w:r>
              <w:rPr>
                <w:rFonts w:ascii="Arial" w:cs="Arial" w:eastAsia="Arial" w:hAnsi="Arial"/>
                <w:sz w:val="20"/>
                <w:szCs w:val="20"/>
                <w:color w:val="auto"/>
              </w:rPr>
              <w:t>88.7</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9 %</w:t>
            </w:r>
          </w:p>
        </w:tc>
        <w:tc>
          <w:tcPr>
            <w:tcW w:w="300" w:type="dxa"/>
            <w:vAlign w:val="bottom"/>
          </w:tcPr>
          <w:p>
            <w:pPr>
              <w:spacing w:after="0"/>
              <w:rPr>
                <w:sz w:val="18"/>
                <w:szCs w:val="18"/>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20"/>
                <w:szCs w:val="20"/>
                <w:color w:val="auto"/>
              </w:rPr>
              <w:t>303.9</w:t>
            </w:r>
          </w:p>
        </w:tc>
        <w:tc>
          <w:tcPr>
            <w:tcW w:w="300" w:type="dxa"/>
            <w:vAlign w:val="bottom"/>
          </w:tcPr>
          <w:p>
            <w:pPr>
              <w:spacing w:after="0"/>
              <w:rPr>
                <w:sz w:val="18"/>
                <w:szCs w:val="18"/>
                <w:color w:val="auto"/>
              </w:rPr>
            </w:pPr>
          </w:p>
        </w:tc>
        <w:tc>
          <w:tcPr>
            <w:tcW w:w="1400" w:type="dxa"/>
            <w:vAlign w:val="bottom"/>
            <w:vMerge w:val="restart"/>
          </w:tcPr>
          <w:p>
            <w:pPr>
              <w:jc w:val="right"/>
              <w:ind w:right="521"/>
              <w:spacing w:after="0"/>
              <w:rPr>
                <w:sz w:val="20"/>
                <w:szCs w:val="20"/>
                <w:color w:val="auto"/>
              </w:rPr>
            </w:pPr>
            <w:r>
              <w:rPr>
                <w:rFonts w:ascii="Arial" w:cs="Arial" w:eastAsia="Arial" w:hAnsi="Arial"/>
                <w:sz w:val="20"/>
                <w:szCs w:val="20"/>
                <w:color w:val="auto"/>
              </w:rPr>
              <w:t>260.7</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256"/>
        </w:trPr>
        <w:tc>
          <w:tcPr>
            <w:tcW w:w="2520" w:type="dxa"/>
            <w:vAlign w:val="bottom"/>
          </w:tcPr>
          <w:p>
            <w:pPr>
              <w:ind w:left="180"/>
              <w:spacing w:after="0"/>
              <w:rPr>
                <w:sz w:val="20"/>
                <w:szCs w:val="20"/>
                <w:color w:val="auto"/>
              </w:rPr>
            </w:pPr>
            <w:r>
              <w:rPr>
                <w:rFonts w:ascii="Arial" w:cs="Arial" w:eastAsia="Arial" w:hAnsi="Arial"/>
                <w:sz w:val="20"/>
                <w:szCs w:val="20"/>
                <w:color w:val="auto"/>
              </w:rPr>
              <w:t>income</w:t>
            </w: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20"/>
                <w:szCs w:val="20"/>
                <w:i w:val="1"/>
                <w:iCs w:val="1"/>
                <w:color w:val="auto"/>
              </w:rPr>
              <w:t>% of Net sales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28.6 %</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i w:val="1"/>
                <w:iCs w:val="1"/>
                <w:color w:val="auto"/>
              </w:rPr>
              <w:t>28.3 %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30 bps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30.2 %</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i w:val="1"/>
                <w:iCs w:val="1"/>
                <w:color w:val="auto"/>
              </w:rPr>
              <w:t>28.1 %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i w:val="1"/>
                <w:iCs w:val="1"/>
                <w:color w:val="auto"/>
              </w:rPr>
              <w:t>210 bps</w:t>
            </w:r>
          </w:p>
        </w:tc>
        <w:tc>
          <w:tcPr>
            <w:tcW w:w="0" w:type="dxa"/>
            <w:vAlign w:val="bottom"/>
          </w:tcPr>
          <w:p>
            <w:pPr>
              <w:spacing w:after="0"/>
              <w:rPr>
                <w:sz w:val="1"/>
                <w:szCs w:val="1"/>
                <w:color w:val="auto"/>
              </w:rPr>
            </w:pPr>
          </w:p>
        </w:tc>
      </w:tr>
      <w:tr>
        <w:trPr>
          <w:trHeight w:val="271"/>
        </w:trPr>
        <w:tc>
          <w:tcPr>
            <w:tcW w:w="2520" w:type="dxa"/>
            <w:vAlign w:val="bottom"/>
          </w:tcPr>
          <w:p>
            <w:pPr>
              <w:ind w:left="20"/>
              <w:spacing w:after="0"/>
              <w:rPr>
                <w:sz w:val="20"/>
                <w:szCs w:val="20"/>
                <w:color w:val="auto"/>
              </w:rPr>
            </w:pPr>
            <w:r>
              <w:rPr>
                <w:rFonts w:ascii="Arial" w:cs="Arial" w:eastAsia="Arial" w:hAnsi="Arial"/>
                <w:sz w:val="20"/>
                <w:szCs w:val="20"/>
                <w:b w:val="1"/>
                <w:bCs w:val="1"/>
                <w:color w:val="auto"/>
              </w:rPr>
              <w:t>International Segment</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520" w:type="dxa"/>
            <w:vAlign w:val="bottom"/>
          </w:tcPr>
          <w:p>
            <w:pPr>
              <w:ind w:left="180"/>
              <w:spacing w:after="0"/>
              <w:rPr>
                <w:sz w:val="20"/>
                <w:szCs w:val="20"/>
                <w:color w:val="auto"/>
              </w:rPr>
            </w:pPr>
            <w:r>
              <w:rPr>
                <w:rFonts w:ascii="Arial" w:cs="Arial" w:eastAsia="Arial" w:hAnsi="Arial"/>
                <w:sz w:val="20"/>
                <w:szCs w:val="20"/>
                <w:color w:val="auto"/>
              </w:rPr>
              <w:t>Net sales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198.2</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155.1</w:t>
            </w:r>
          </w:p>
        </w:tc>
        <w:tc>
          <w:tcPr>
            <w:tcW w:w="1200" w:type="dxa"/>
            <w:vAlign w:val="bottom"/>
          </w:tcPr>
          <w:p>
            <w:pPr>
              <w:jc w:val="right"/>
              <w:spacing w:after="0"/>
              <w:rPr>
                <w:sz w:val="20"/>
                <w:szCs w:val="20"/>
                <w:color w:val="auto"/>
              </w:rPr>
            </w:pPr>
            <w:r>
              <w:rPr>
                <w:rFonts w:ascii="Arial" w:cs="Arial" w:eastAsia="Arial" w:hAnsi="Arial"/>
                <w:sz w:val="20"/>
                <w:szCs w:val="20"/>
                <w:color w:val="auto"/>
              </w:rPr>
              <w:t>28 %</w:t>
            </w:r>
          </w:p>
        </w:tc>
        <w:tc>
          <w:tcPr>
            <w:tcW w:w="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498.5</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437.3</w:t>
            </w:r>
          </w:p>
        </w:tc>
        <w:tc>
          <w:tcPr>
            <w:tcW w:w="1100" w:type="dxa"/>
            <w:vAlign w:val="bottom"/>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color w:val="auto"/>
              </w:rPr>
              <w:t>GAAP operating income</w:t>
            </w:r>
          </w:p>
        </w:tc>
        <w:tc>
          <w:tcPr>
            <w:tcW w:w="320" w:type="dxa"/>
            <w:vAlign w:val="bottom"/>
          </w:tcPr>
          <w:p>
            <w:pPr>
              <w:spacing w:after="0"/>
              <w:rPr>
                <w:sz w:val="23"/>
                <w:szCs w:val="23"/>
                <w:color w:val="auto"/>
              </w:rPr>
            </w:pP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22.9</w:t>
            </w:r>
          </w:p>
        </w:tc>
        <w:tc>
          <w:tcPr>
            <w:tcW w:w="360" w:type="dxa"/>
            <w:vAlign w:val="bottom"/>
          </w:tcPr>
          <w:p>
            <w:pPr>
              <w:spacing w:after="0"/>
              <w:rPr>
                <w:sz w:val="23"/>
                <w:szCs w:val="23"/>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color w:val="auto"/>
              </w:rPr>
              <w:t>22.7</w:t>
            </w:r>
          </w:p>
        </w:tc>
        <w:tc>
          <w:tcPr>
            <w:tcW w:w="1200" w:type="dxa"/>
            <w:vAlign w:val="bottom"/>
          </w:tcPr>
          <w:p>
            <w:pPr>
              <w:jc w:val="right"/>
              <w:spacing w:after="0"/>
              <w:rPr>
                <w:sz w:val="20"/>
                <w:szCs w:val="20"/>
                <w:color w:val="auto"/>
              </w:rPr>
            </w:pPr>
            <w:r>
              <w:rPr>
                <w:rFonts w:ascii="Arial" w:cs="Arial" w:eastAsia="Arial" w:hAnsi="Arial"/>
                <w:sz w:val="20"/>
                <w:szCs w:val="20"/>
                <w:color w:val="auto"/>
              </w:rPr>
              <w:t>1 %</w:t>
            </w:r>
          </w:p>
        </w:tc>
        <w:tc>
          <w:tcPr>
            <w:tcW w:w="300" w:type="dxa"/>
            <w:vAlign w:val="bottom"/>
          </w:tcPr>
          <w:p>
            <w:pPr>
              <w:spacing w:after="0"/>
              <w:rPr>
                <w:sz w:val="23"/>
                <w:szCs w:val="23"/>
                <w:color w:val="auto"/>
              </w:rPr>
            </w:pP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58.3</w:t>
            </w:r>
          </w:p>
        </w:tc>
        <w:tc>
          <w:tcPr>
            <w:tcW w:w="300" w:type="dxa"/>
            <w:vAlign w:val="bottom"/>
          </w:tcPr>
          <w:p>
            <w:pPr>
              <w:spacing w:after="0"/>
              <w:rPr>
                <w:sz w:val="23"/>
                <w:szCs w:val="23"/>
                <w:color w:val="auto"/>
              </w:rPr>
            </w:pPr>
          </w:p>
        </w:tc>
        <w:tc>
          <w:tcPr>
            <w:tcW w:w="1400" w:type="dxa"/>
            <w:vAlign w:val="bottom"/>
          </w:tcPr>
          <w:p>
            <w:pPr>
              <w:jc w:val="right"/>
              <w:ind w:right="521"/>
              <w:spacing w:after="0"/>
              <w:rPr>
                <w:sz w:val="20"/>
                <w:szCs w:val="20"/>
                <w:color w:val="auto"/>
              </w:rPr>
            </w:pPr>
            <w:r>
              <w:rPr>
                <w:rFonts w:ascii="Arial" w:cs="Arial" w:eastAsia="Arial" w:hAnsi="Arial"/>
                <w:sz w:val="20"/>
                <w:szCs w:val="20"/>
                <w:color w:val="auto"/>
              </w:rPr>
              <w:t>52.3</w:t>
            </w:r>
          </w:p>
        </w:tc>
        <w:tc>
          <w:tcPr>
            <w:tcW w:w="1100" w:type="dxa"/>
            <w:vAlign w:val="bottom"/>
          </w:tcPr>
          <w:p>
            <w:pPr>
              <w:jc w:val="right"/>
              <w:spacing w:after="0"/>
              <w:rPr>
                <w:sz w:val="20"/>
                <w:szCs w:val="20"/>
                <w:color w:val="auto"/>
              </w:rPr>
            </w:pPr>
            <w:r>
              <w:rPr>
                <w:rFonts w:ascii="Arial" w:cs="Arial" w:eastAsia="Arial" w:hAnsi="Arial"/>
                <w:sz w:val="20"/>
                <w:szCs w:val="20"/>
                <w:color w:val="auto"/>
              </w:rPr>
              <w:t>11 %</w:t>
            </w:r>
          </w:p>
        </w:tc>
        <w:tc>
          <w:tcPr>
            <w:tcW w:w="0" w:type="dxa"/>
            <w:vAlign w:val="bottom"/>
          </w:tcPr>
          <w:p>
            <w:pPr>
              <w:spacing w:after="0"/>
              <w:rPr>
                <w:sz w:val="1"/>
                <w:szCs w:val="1"/>
                <w:color w:val="auto"/>
              </w:rPr>
            </w:pPr>
          </w:p>
        </w:tc>
      </w:tr>
      <w:tr>
        <w:trPr>
          <w:trHeight w:val="270"/>
        </w:trPr>
        <w:tc>
          <w:tcPr>
            <w:tcW w:w="2520" w:type="dxa"/>
            <w:vAlign w:val="bottom"/>
          </w:tcPr>
          <w:p>
            <w:pPr>
              <w:ind w:left="180"/>
              <w:spacing w:after="0"/>
              <w:rPr>
                <w:sz w:val="20"/>
                <w:szCs w:val="20"/>
                <w:color w:val="auto"/>
              </w:rPr>
            </w:pPr>
            <w:r>
              <w:rPr>
                <w:rFonts w:ascii="Arial" w:cs="Arial" w:eastAsia="Arial" w:hAnsi="Arial"/>
                <w:sz w:val="20"/>
                <w:szCs w:val="20"/>
                <w:i w:val="1"/>
                <w:iCs w:val="1"/>
                <w:color w:val="auto"/>
              </w:rPr>
              <w:t>% of Net sales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i w:val="1"/>
                <w:iCs w:val="1"/>
                <w:color w:val="auto"/>
              </w:rPr>
              <w:t>11.6 %</w:t>
            </w:r>
          </w:p>
        </w:tc>
        <w:tc>
          <w:tcPr>
            <w:tcW w:w="360" w:type="dxa"/>
            <w:vAlign w:val="bottom"/>
          </w:tcPr>
          <w:p>
            <w:pPr>
              <w:spacing w:after="0"/>
              <w:rPr>
                <w:sz w:val="23"/>
                <w:szCs w:val="23"/>
                <w:color w:val="auto"/>
              </w:rPr>
            </w:pPr>
          </w:p>
        </w:tc>
        <w:tc>
          <w:tcPr>
            <w:tcW w:w="1220" w:type="dxa"/>
            <w:vAlign w:val="bottom"/>
          </w:tcPr>
          <w:p>
            <w:pPr>
              <w:jc w:val="right"/>
              <w:ind w:right="221"/>
              <w:spacing w:after="0"/>
              <w:rPr>
                <w:sz w:val="20"/>
                <w:szCs w:val="20"/>
                <w:color w:val="auto"/>
              </w:rPr>
            </w:pPr>
            <w:r>
              <w:rPr>
                <w:rFonts w:ascii="Arial" w:cs="Arial" w:eastAsia="Arial" w:hAnsi="Arial"/>
                <w:sz w:val="20"/>
                <w:szCs w:val="20"/>
                <w:i w:val="1"/>
                <w:iCs w:val="1"/>
                <w:color w:val="auto"/>
              </w:rPr>
              <w:t>14.7 %</w:t>
            </w:r>
          </w:p>
        </w:tc>
        <w:tc>
          <w:tcPr>
            <w:tcW w:w="1200" w:type="dxa"/>
            <w:vAlign w:val="bottom"/>
          </w:tcPr>
          <w:p>
            <w:pPr>
              <w:jc w:val="right"/>
              <w:spacing w:after="0"/>
              <w:rPr>
                <w:sz w:val="20"/>
                <w:szCs w:val="20"/>
                <w:color w:val="auto"/>
              </w:rPr>
            </w:pPr>
            <w:r>
              <w:rPr>
                <w:rFonts w:ascii="Arial" w:cs="Arial" w:eastAsia="Arial" w:hAnsi="Arial"/>
                <w:sz w:val="20"/>
                <w:szCs w:val="20"/>
                <w:i w:val="1"/>
                <w:iCs w:val="1"/>
                <w:color w:val="auto"/>
              </w:rPr>
              <w:t>(310) bps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11.7 %</w:t>
            </w:r>
          </w:p>
        </w:tc>
        <w:tc>
          <w:tcPr>
            <w:tcW w:w="300" w:type="dxa"/>
            <w:vAlign w:val="bottom"/>
          </w:tcPr>
          <w:p>
            <w:pPr>
              <w:spacing w:after="0"/>
              <w:rPr>
                <w:sz w:val="23"/>
                <w:szCs w:val="23"/>
                <w:color w:val="auto"/>
              </w:rPr>
            </w:pPr>
          </w:p>
        </w:tc>
        <w:tc>
          <w:tcPr>
            <w:tcW w:w="1400" w:type="dxa"/>
            <w:vAlign w:val="bottom"/>
          </w:tcPr>
          <w:p>
            <w:pPr>
              <w:jc w:val="right"/>
              <w:ind w:right="281"/>
              <w:spacing w:after="0"/>
              <w:rPr>
                <w:sz w:val="20"/>
                <w:szCs w:val="20"/>
                <w:color w:val="auto"/>
              </w:rPr>
            </w:pPr>
            <w:r>
              <w:rPr>
                <w:rFonts w:ascii="Arial" w:cs="Arial" w:eastAsia="Arial" w:hAnsi="Arial"/>
                <w:sz w:val="20"/>
                <w:szCs w:val="20"/>
                <w:i w:val="1"/>
                <w:iCs w:val="1"/>
                <w:color w:val="auto"/>
              </w:rPr>
              <w:t>12.0 %</w:t>
            </w: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(30) bps</w:t>
            </w:r>
          </w:p>
        </w:tc>
        <w:tc>
          <w:tcPr>
            <w:tcW w:w="0" w:type="dxa"/>
            <w:vAlign w:val="bottom"/>
          </w:tcPr>
          <w:p>
            <w:pPr>
              <w:spacing w:after="0"/>
              <w:rPr>
                <w:sz w:val="1"/>
                <w:szCs w:val="1"/>
                <w:color w:val="auto"/>
              </w:rPr>
            </w:pPr>
          </w:p>
        </w:tc>
      </w:tr>
      <w:tr>
        <w:trPr>
          <w:trHeight w:val="211"/>
        </w:trPr>
        <w:tc>
          <w:tcPr>
            <w:tcW w:w="2520" w:type="dxa"/>
            <w:vAlign w:val="bottom"/>
          </w:tcPr>
          <w:p>
            <w:pPr>
              <w:ind w:left="180"/>
              <w:spacing w:after="0" w:line="211" w:lineRule="exact"/>
              <w:rPr>
                <w:sz w:val="20"/>
                <w:szCs w:val="20"/>
                <w:color w:val="auto"/>
              </w:rPr>
            </w:pPr>
            <w:r>
              <w:rPr>
                <w:rFonts w:ascii="Arial" w:cs="Arial" w:eastAsia="Arial" w:hAnsi="Arial"/>
                <w:sz w:val="20"/>
                <w:szCs w:val="20"/>
                <w:color w:val="auto"/>
              </w:rPr>
              <w:t>Adjusted operating</w:t>
            </w:r>
          </w:p>
        </w:tc>
        <w:tc>
          <w:tcPr>
            <w:tcW w:w="320" w:type="dxa"/>
            <w:vAlign w:val="bottom"/>
          </w:tcPr>
          <w:p>
            <w:pPr>
              <w:spacing w:after="0"/>
              <w:rPr>
                <w:sz w:val="18"/>
                <w:szCs w:val="18"/>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20"/>
                <w:szCs w:val="20"/>
                <w:color w:val="auto"/>
              </w:rPr>
              <w:t>31.8</w:t>
            </w:r>
          </w:p>
        </w:tc>
        <w:tc>
          <w:tcPr>
            <w:tcW w:w="360" w:type="dxa"/>
            <w:vAlign w:val="bottom"/>
          </w:tcPr>
          <w:p>
            <w:pPr>
              <w:spacing w:after="0"/>
              <w:rPr>
                <w:sz w:val="18"/>
                <w:szCs w:val="18"/>
                <w:color w:val="auto"/>
              </w:rPr>
            </w:pPr>
          </w:p>
        </w:tc>
        <w:tc>
          <w:tcPr>
            <w:tcW w:w="1220" w:type="dxa"/>
            <w:vAlign w:val="bottom"/>
            <w:vMerge w:val="restart"/>
          </w:tcPr>
          <w:p>
            <w:pPr>
              <w:jc w:val="right"/>
              <w:ind w:right="461"/>
              <w:spacing w:after="0"/>
              <w:rPr>
                <w:sz w:val="20"/>
                <w:szCs w:val="20"/>
                <w:color w:val="auto"/>
              </w:rPr>
            </w:pPr>
            <w:r>
              <w:rPr>
                <w:rFonts w:ascii="Arial" w:cs="Arial" w:eastAsia="Arial" w:hAnsi="Arial"/>
                <w:sz w:val="20"/>
                <w:szCs w:val="20"/>
                <w:color w:val="auto"/>
              </w:rPr>
              <w:t>24.8</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28 %</w:t>
            </w:r>
          </w:p>
        </w:tc>
        <w:tc>
          <w:tcPr>
            <w:tcW w:w="300" w:type="dxa"/>
            <w:vAlign w:val="bottom"/>
          </w:tcPr>
          <w:p>
            <w:pPr>
              <w:spacing w:after="0"/>
              <w:rPr>
                <w:sz w:val="18"/>
                <w:szCs w:val="18"/>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20"/>
                <w:szCs w:val="20"/>
                <w:color w:val="auto"/>
              </w:rPr>
              <w:t>71.4</w:t>
            </w:r>
          </w:p>
        </w:tc>
        <w:tc>
          <w:tcPr>
            <w:tcW w:w="300" w:type="dxa"/>
            <w:vAlign w:val="bottom"/>
          </w:tcPr>
          <w:p>
            <w:pPr>
              <w:spacing w:after="0"/>
              <w:rPr>
                <w:sz w:val="18"/>
                <w:szCs w:val="18"/>
                <w:color w:val="auto"/>
              </w:rPr>
            </w:pPr>
          </w:p>
        </w:tc>
        <w:tc>
          <w:tcPr>
            <w:tcW w:w="1400" w:type="dxa"/>
            <w:vAlign w:val="bottom"/>
            <w:vMerge w:val="restart"/>
          </w:tcPr>
          <w:p>
            <w:pPr>
              <w:jc w:val="right"/>
              <w:ind w:right="521"/>
              <w:spacing w:after="0"/>
              <w:rPr>
                <w:sz w:val="20"/>
                <w:szCs w:val="20"/>
                <w:color w:val="auto"/>
              </w:rPr>
            </w:pPr>
            <w:r>
              <w:rPr>
                <w:rFonts w:ascii="Arial" w:cs="Arial" w:eastAsia="Arial" w:hAnsi="Arial"/>
                <w:sz w:val="20"/>
                <w:szCs w:val="20"/>
                <w:color w:val="auto"/>
              </w:rPr>
              <w:t>63.7</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12 %</w:t>
            </w:r>
          </w:p>
        </w:tc>
        <w:tc>
          <w:tcPr>
            <w:tcW w:w="0" w:type="dxa"/>
            <w:vAlign w:val="bottom"/>
          </w:tcPr>
          <w:p>
            <w:pPr>
              <w:spacing w:after="0"/>
              <w:rPr>
                <w:sz w:val="1"/>
                <w:szCs w:val="1"/>
                <w:color w:val="auto"/>
              </w:rPr>
            </w:pPr>
          </w:p>
        </w:tc>
      </w:tr>
      <w:tr>
        <w:trPr>
          <w:trHeight w:val="256"/>
        </w:trPr>
        <w:tc>
          <w:tcPr>
            <w:tcW w:w="2520" w:type="dxa"/>
            <w:vAlign w:val="bottom"/>
          </w:tcPr>
          <w:p>
            <w:pPr>
              <w:ind w:left="180"/>
              <w:spacing w:after="0"/>
              <w:rPr>
                <w:sz w:val="20"/>
                <w:szCs w:val="20"/>
                <w:color w:val="auto"/>
              </w:rPr>
            </w:pPr>
            <w:r>
              <w:rPr>
                <w:rFonts w:ascii="Arial" w:cs="Arial" w:eastAsia="Arial" w:hAnsi="Arial"/>
                <w:sz w:val="20"/>
                <w:szCs w:val="20"/>
                <w:color w:val="auto"/>
              </w:rPr>
              <w:t>income</w:t>
            </w: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520" w:type="dxa"/>
            <w:vAlign w:val="bottom"/>
          </w:tcPr>
          <w:p>
            <w:pPr>
              <w:ind w:left="180"/>
              <w:spacing w:after="0"/>
              <w:rPr>
                <w:sz w:val="20"/>
                <w:szCs w:val="20"/>
                <w:color w:val="auto"/>
              </w:rPr>
            </w:pPr>
            <w:r>
              <w:rPr>
                <w:rFonts w:ascii="Arial" w:cs="Arial" w:eastAsia="Arial" w:hAnsi="Arial"/>
                <w:sz w:val="20"/>
                <w:szCs w:val="20"/>
                <w:i w:val="1"/>
                <w:iCs w:val="1"/>
                <w:color w:val="auto"/>
              </w:rPr>
              <w:t>% of Net sales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i w:val="1"/>
                <w:iCs w:val="1"/>
                <w:color w:val="auto"/>
              </w:rPr>
              <w:t>16.1 %</w:t>
            </w:r>
          </w:p>
        </w:tc>
        <w:tc>
          <w:tcPr>
            <w:tcW w:w="360" w:type="dxa"/>
            <w:vAlign w:val="bottom"/>
          </w:tcPr>
          <w:p>
            <w:pPr>
              <w:spacing w:after="0"/>
              <w:rPr>
                <w:sz w:val="22"/>
                <w:szCs w:val="22"/>
                <w:color w:val="auto"/>
              </w:rPr>
            </w:pPr>
          </w:p>
        </w:tc>
        <w:tc>
          <w:tcPr>
            <w:tcW w:w="1220" w:type="dxa"/>
            <w:vAlign w:val="bottom"/>
          </w:tcPr>
          <w:p>
            <w:pPr>
              <w:jc w:val="right"/>
              <w:ind w:right="221"/>
              <w:spacing w:after="0"/>
              <w:rPr>
                <w:sz w:val="20"/>
                <w:szCs w:val="20"/>
                <w:color w:val="auto"/>
              </w:rPr>
            </w:pPr>
            <w:r>
              <w:rPr>
                <w:rFonts w:ascii="Arial" w:cs="Arial" w:eastAsia="Arial" w:hAnsi="Arial"/>
                <w:sz w:val="20"/>
                <w:szCs w:val="20"/>
                <w:i w:val="1"/>
                <w:iCs w:val="1"/>
                <w:color w:val="auto"/>
              </w:rPr>
              <w:t>16.0 %</w:t>
            </w:r>
          </w:p>
        </w:tc>
        <w:tc>
          <w:tcPr>
            <w:tcW w:w="1200" w:type="dxa"/>
            <w:vAlign w:val="bottom"/>
          </w:tcPr>
          <w:p>
            <w:pPr>
              <w:jc w:val="right"/>
              <w:spacing w:after="0"/>
              <w:rPr>
                <w:sz w:val="20"/>
                <w:szCs w:val="20"/>
                <w:color w:val="auto"/>
              </w:rPr>
            </w:pPr>
            <w:r>
              <w:rPr>
                <w:rFonts w:ascii="Arial" w:cs="Arial" w:eastAsia="Arial" w:hAnsi="Arial"/>
                <w:sz w:val="20"/>
                <w:szCs w:val="20"/>
                <w:i w:val="1"/>
                <w:iCs w:val="1"/>
                <w:color w:val="auto"/>
              </w:rPr>
              <w:t>10 bps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14.3 %</w:t>
            </w:r>
          </w:p>
        </w:tc>
        <w:tc>
          <w:tcPr>
            <w:tcW w:w="300" w:type="dxa"/>
            <w:vAlign w:val="bottom"/>
          </w:tcPr>
          <w:p>
            <w:pPr>
              <w:spacing w:after="0"/>
              <w:rPr>
                <w:sz w:val="22"/>
                <w:szCs w:val="22"/>
                <w:color w:val="auto"/>
              </w:rPr>
            </w:pPr>
          </w:p>
        </w:tc>
        <w:tc>
          <w:tcPr>
            <w:tcW w:w="1400" w:type="dxa"/>
            <w:vAlign w:val="bottom"/>
          </w:tcPr>
          <w:p>
            <w:pPr>
              <w:jc w:val="right"/>
              <w:ind w:right="281"/>
              <w:spacing w:after="0"/>
              <w:rPr>
                <w:sz w:val="20"/>
                <w:szCs w:val="20"/>
                <w:color w:val="auto"/>
              </w:rPr>
            </w:pPr>
            <w:r>
              <w:rPr>
                <w:rFonts w:ascii="Arial" w:cs="Arial" w:eastAsia="Arial" w:hAnsi="Arial"/>
                <w:sz w:val="20"/>
                <w:szCs w:val="20"/>
                <w:i w:val="1"/>
                <w:iCs w:val="1"/>
                <w:color w:val="auto"/>
              </w:rPr>
              <w:t>14.6 %</w:t>
            </w:r>
          </w:p>
        </w:tc>
        <w:tc>
          <w:tcPr>
            <w:tcW w:w="1100" w:type="dxa"/>
            <w:vAlign w:val="bottom"/>
          </w:tcPr>
          <w:p>
            <w:pPr>
              <w:jc w:val="right"/>
              <w:spacing w:after="0"/>
              <w:rPr>
                <w:sz w:val="20"/>
                <w:szCs w:val="20"/>
                <w:color w:val="auto"/>
              </w:rPr>
            </w:pPr>
            <w:r>
              <w:rPr>
                <w:rFonts w:ascii="Arial" w:cs="Arial" w:eastAsia="Arial" w:hAnsi="Arial"/>
                <w:sz w:val="20"/>
                <w:szCs w:val="20"/>
                <w:i w:val="1"/>
                <w:iCs w:val="1"/>
                <w:color w:val="auto"/>
              </w:rPr>
              <w:t>(30) bps</w:t>
            </w:r>
          </w:p>
        </w:tc>
        <w:tc>
          <w:tcPr>
            <w:tcW w:w="0" w:type="dxa"/>
            <w:vAlign w:val="bottom"/>
          </w:tcPr>
          <w:p>
            <w:pPr>
              <w:spacing w:after="0"/>
              <w:rPr>
                <w:sz w:val="1"/>
                <w:szCs w:val="1"/>
                <w:color w:val="auto"/>
              </w:rPr>
            </w:pPr>
          </w:p>
        </w:tc>
      </w:tr>
    </w:tbl>
    <w:p>
      <w:pPr>
        <w:ind w:left="200" w:hanging="174"/>
        <w:spacing w:after="0" w:line="229" w:lineRule="auto"/>
        <w:tabs>
          <w:tab w:leader="none" w:pos="20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Percentage change may not calculate exactly due to rounding.</w:t>
      </w:r>
    </w:p>
    <w:p>
      <w:pPr>
        <w:spacing w:after="0" w:line="200" w:lineRule="exact"/>
        <w:rPr>
          <w:sz w:val="20"/>
          <w:szCs w:val="20"/>
          <w:color w:val="auto"/>
        </w:rPr>
      </w:pPr>
    </w:p>
    <w:p>
      <w:pPr>
        <w:spacing w:after="0" w:line="235" w:lineRule="exact"/>
        <w:rPr>
          <w:sz w:val="20"/>
          <w:szCs w:val="20"/>
          <w:color w:val="auto"/>
        </w:rPr>
      </w:pPr>
    </w:p>
    <w:p>
      <w:pPr>
        <w:ind w:firstLine="648"/>
        <w:spacing w:after="0" w:line="426" w:lineRule="auto"/>
        <w:rPr>
          <w:sz w:val="20"/>
          <w:szCs w:val="20"/>
          <w:color w:val="auto"/>
        </w:rPr>
      </w:pPr>
      <w:r>
        <w:rPr>
          <w:rFonts w:ascii="Arial" w:cs="Arial" w:eastAsia="Arial" w:hAnsi="Arial"/>
          <w:sz w:val="21"/>
          <w:szCs w:val="21"/>
          <w:color w:val="auto"/>
        </w:rPr>
        <w:t>"Our adjusted earnings per share increased by 8% and we continued to deliver strong free cash flow conversion. Our cash generation and disciplined capital allocation framework enabled the acquisition of Autronica Fire and Security and meaningful shareholder returns via dividends and share repurchases. With net leverage within our target range, we remain well positioned to pursue strategic growth opportunities. We are maintaining our full-year sales outlook of low-double-digit reported growth," stated Julie Beck, MSA Safety's Chief Financial Officer.</w:t>
      </w:r>
    </w:p>
    <w:p>
      <w:pPr>
        <w:sectPr>
          <w:pgSz w:w="11900" w:h="16838" w:orient="portrait"/>
          <w:cols w:equalWidth="0" w:num="1">
            <w:col w:w="11160"/>
          </w:cols>
          <w:pgMar w:left="320" w:top="12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666666"/>
        </w:rPr>
        <w:t>(more)</w:t>
      </w:r>
    </w:p>
    <w:p>
      <w:pPr>
        <w:sectPr>
          <w:pgSz w:w="11900" w:h="16838" w:orient="portrait"/>
          <w:cols w:equalWidth="0" w:num="1">
            <w:col w:w="11160"/>
          </w:cols>
          <w:pgMar w:left="320" w:top="127" w:right="419" w:bottom="1440"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22"/>
          <w:szCs w:val="22"/>
          <w:color w:val="242424"/>
        </w:rPr>
        <w:t>3</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C2C2C"/>
        </w:rPr>
        <w:t>Conference Call</w:t>
      </w:r>
    </w:p>
    <w:p>
      <w:pPr>
        <w:spacing w:after="0" w:line="179" w:lineRule="exact"/>
        <w:rPr>
          <w:sz w:val="20"/>
          <w:szCs w:val="20"/>
          <w:color w:val="auto"/>
        </w:rPr>
      </w:pPr>
    </w:p>
    <w:p>
      <w:pPr>
        <w:ind w:firstLine="648"/>
        <w:spacing w:after="0" w:line="404" w:lineRule="auto"/>
        <w:rPr>
          <w:sz w:val="20"/>
          <w:szCs w:val="20"/>
          <w:color w:val="auto"/>
        </w:rPr>
      </w:pPr>
      <w:r>
        <w:rPr>
          <w:rFonts w:ascii="Arial" w:cs="Arial" w:eastAsia="Arial" w:hAnsi="Arial"/>
          <w:sz w:val="22"/>
          <w:szCs w:val="22"/>
          <w:color w:val="auto"/>
        </w:rPr>
        <w:t>MSA Safety will host a conference call on Tuesday, November 3, 2026, at 10:00 a.m. Eastern Time to discuss its third quarter 2026 results. The call and an accompanying slide presentation will be webcast at http://investors.msasafety.com/ under the “News and Events” tab, subheading “Events &amp; Presentations.” Investors and interested parties can also dial into the call at 1-844-854-4415 (toll-free) or 1-412-902-6599 (international). When prompted, please instruct the operator to be joined into the MSA Safety Incorporated conference call. A replay of the conference call will be available at http://investors.msasafety.com/ shortly after the conclusion of the presentation and will be available for the next 90 days.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200"/>
          </w:cols>
          <w:pgMar w:left="320" w:top="127" w:right="37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22"/>
          <w:szCs w:val="22"/>
          <w:color w:val="242424"/>
        </w:rPr>
        <w:t>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C2C2C"/>
        </w:rPr>
        <w:t>Condensed Consolidated Statements of Income (Unaudited)</w:t>
      </w:r>
    </w:p>
    <w:p>
      <w:pPr>
        <w:spacing w:after="0"/>
        <w:rPr>
          <w:sz w:val="20"/>
          <w:szCs w:val="20"/>
          <w:color w:val="auto"/>
        </w:rPr>
      </w:pPr>
      <w:r>
        <w:rPr>
          <w:rFonts w:ascii="Arial" w:cs="Arial" w:eastAsia="Arial" w:hAnsi="Arial"/>
          <w:sz w:val="20"/>
          <w:szCs w:val="20"/>
          <w:color w:val="2C2C2C"/>
        </w:rPr>
        <w:t>(In thousands, except per share amounts)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3420" w:type="dxa"/>
            <w:vAlign w:val="bottom"/>
            <w:gridSpan w:val="6"/>
            <w:vMerge w:val="restart"/>
          </w:tcPr>
          <w:p>
            <w:pPr>
              <w:ind w:left="40"/>
              <w:spacing w:after="0"/>
              <w:rPr>
                <w:sz w:val="20"/>
                <w:szCs w:val="20"/>
                <w:color w:val="auto"/>
              </w:rPr>
            </w:pPr>
            <w:r>
              <w:rPr>
                <w:rFonts w:ascii="Arial" w:cs="Arial" w:eastAsia="Arial" w:hAnsi="Arial"/>
                <w:sz w:val="20"/>
                <w:szCs w:val="20"/>
                <w:color w:val="2C2C2C"/>
              </w:rPr>
              <w:t>Three Months Ended September 30,</w:t>
            </w:r>
          </w:p>
        </w:tc>
        <w:tc>
          <w:tcPr>
            <w:tcW w:w="160" w:type="dxa"/>
            <w:vAlign w:val="bottom"/>
          </w:tcPr>
          <w:p>
            <w:pPr>
              <w:spacing w:after="0"/>
              <w:rPr>
                <w:sz w:val="19"/>
                <w:szCs w:val="19"/>
                <w:color w:val="auto"/>
              </w:rPr>
            </w:pPr>
          </w:p>
        </w:tc>
        <w:tc>
          <w:tcPr>
            <w:tcW w:w="2940" w:type="dxa"/>
            <w:vAlign w:val="bottom"/>
            <w:gridSpan w:val="5"/>
          </w:tcPr>
          <w:p>
            <w:pPr>
              <w:jc w:val="right"/>
              <w:ind w:right="61"/>
              <w:spacing w:after="0"/>
              <w:rPr>
                <w:sz w:val="20"/>
                <w:szCs w:val="20"/>
                <w:color w:val="auto"/>
              </w:rPr>
            </w:pPr>
            <w:r>
              <w:rPr>
                <w:rFonts w:ascii="Arial" w:cs="Arial" w:eastAsia="Arial" w:hAnsi="Arial"/>
                <w:sz w:val="20"/>
                <w:szCs w:val="20"/>
                <w:color w:val="2C2C2C"/>
                <w:w w:val="98"/>
              </w:rPr>
              <w:t>Nine Months Ended September</w:t>
            </w:r>
          </w:p>
        </w:tc>
        <w:tc>
          <w:tcPr>
            <w:tcW w:w="0" w:type="dxa"/>
            <w:vAlign w:val="bottom"/>
          </w:tcPr>
          <w:p>
            <w:pPr>
              <w:spacing w:after="0"/>
              <w:rPr>
                <w:sz w:val="1"/>
                <w:szCs w:val="1"/>
                <w:color w:val="auto"/>
              </w:rPr>
            </w:pPr>
          </w:p>
        </w:tc>
      </w:tr>
      <w:tr>
        <w:trPr>
          <w:trHeight w:val="251"/>
        </w:trPr>
        <w:tc>
          <w:tcPr>
            <w:tcW w:w="4600" w:type="dxa"/>
            <w:vAlign w:val="bottom"/>
          </w:tcPr>
          <w:p>
            <w:pPr>
              <w:spacing w:after="0"/>
              <w:rPr>
                <w:sz w:val="21"/>
                <w:szCs w:val="21"/>
                <w:color w:val="auto"/>
              </w:rPr>
            </w:pPr>
          </w:p>
        </w:tc>
        <w:tc>
          <w:tcPr>
            <w:tcW w:w="3420" w:type="dxa"/>
            <w:vAlign w:val="bottom"/>
            <w:gridSpan w:val="6"/>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20"/>
                <w:szCs w:val="20"/>
                <w:color w:val="2C2C2C"/>
              </w:rPr>
              <w:t>30,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color w:val="2C2C2C"/>
              </w:rPr>
              <w:t>2026</w:t>
            </w:r>
          </w:p>
        </w:tc>
        <w:tc>
          <w:tcPr>
            <w:tcW w:w="1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color w:val="2C2C2C"/>
              </w:rPr>
              <w:t>2025</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2C2C2C"/>
              </w:rPr>
              <w:t>2026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color w:val="2C2C2C"/>
              </w:rPr>
              <w:t>2025</w:t>
            </w:r>
          </w:p>
        </w:tc>
        <w:tc>
          <w:tcPr>
            <w:tcW w:w="0" w:type="dxa"/>
            <w:vAlign w:val="bottom"/>
          </w:tcPr>
          <w:p>
            <w:pPr>
              <w:spacing w:after="0"/>
              <w:rPr>
                <w:sz w:val="1"/>
                <w:szCs w:val="1"/>
                <w:color w:val="auto"/>
              </w:rPr>
            </w:pPr>
          </w:p>
        </w:tc>
      </w:tr>
      <w:tr>
        <w:trPr>
          <w:trHeight w:val="518"/>
        </w:trPr>
        <w:tc>
          <w:tcPr>
            <w:tcW w:w="4600" w:type="dxa"/>
            <w:vAlign w:val="bottom"/>
          </w:tcPr>
          <w:p>
            <w:pPr>
              <w:spacing w:after="0"/>
              <w:rPr>
                <w:sz w:val="20"/>
                <w:szCs w:val="20"/>
                <w:color w:val="auto"/>
              </w:rPr>
            </w:pPr>
            <w:r>
              <w:rPr>
                <w:rFonts w:ascii="Arial" w:cs="Arial" w:eastAsia="Arial" w:hAnsi="Arial"/>
                <w:sz w:val="20"/>
                <w:szCs w:val="20"/>
                <w:color w:val="2C2C2C"/>
              </w:rPr>
              <w:t>Net sales</w:t>
            </w:r>
          </w:p>
        </w:tc>
        <w:tc>
          <w:tcPr>
            <w:tcW w:w="360" w:type="dxa"/>
            <w:vAlign w:val="bottom"/>
          </w:tcPr>
          <w:p>
            <w:pPr>
              <w:ind w:left="20"/>
              <w:spacing w:after="0"/>
              <w:rPr>
                <w:sz w:val="20"/>
                <w:szCs w:val="20"/>
                <w:color w:val="auto"/>
              </w:rPr>
            </w:pPr>
            <w:r>
              <w:rPr>
                <w:rFonts w:ascii="Arial" w:cs="Arial" w:eastAsia="Arial" w:hAnsi="Arial"/>
                <w:sz w:val="20"/>
                <w:szCs w:val="20"/>
                <w:color w:val="2C2C2C"/>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536,430</w:t>
            </w:r>
          </w:p>
        </w:tc>
        <w:tc>
          <w:tcPr>
            <w:tcW w:w="14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2C2C2C"/>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468,445</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2C2C2C"/>
              </w:rPr>
              <w:t>1,503,389</w:t>
            </w:r>
          </w:p>
        </w:tc>
        <w:tc>
          <w:tcPr>
            <w:tcW w:w="540" w:type="dxa"/>
            <w:vAlign w:val="bottom"/>
            <w:gridSpan w:val="3"/>
          </w:tcPr>
          <w:p>
            <w:pPr>
              <w:jc w:val="right"/>
              <w:ind w:right="200"/>
              <w:spacing w:after="0"/>
              <w:rPr>
                <w:sz w:val="20"/>
                <w:szCs w:val="20"/>
                <w:color w:val="auto"/>
              </w:rPr>
            </w:pPr>
            <w:r>
              <w:rPr>
                <w:rFonts w:ascii="Arial" w:cs="Arial" w:eastAsia="Arial" w:hAnsi="Arial"/>
                <w:sz w:val="20"/>
                <w:szCs w:val="20"/>
                <w:color w:val="2C2C2C"/>
              </w:rPr>
              <w:t>$</w:t>
            </w:r>
          </w:p>
        </w:tc>
        <w:tc>
          <w:tcPr>
            <w:tcW w:w="1160" w:type="dxa"/>
            <w:vAlign w:val="bottom"/>
          </w:tcPr>
          <w:p>
            <w:pPr>
              <w:jc w:val="right"/>
              <w:spacing w:after="0"/>
              <w:rPr>
                <w:sz w:val="20"/>
                <w:szCs w:val="20"/>
                <w:color w:val="auto"/>
              </w:rPr>
            </w:pPr>
            <w:r>
              <w:rPr>
                <w:rFonts w:ascii="Arial" w:cs="Arial" w:eastAsia="Arial" w:hAnsi="Arial"/>
                <w:sz w:val="20"/>
                <w:szCs w:val="20"/>
                <w:color w:val="2C2C2C"/>
              </w:rPr>
              <w:t>1,363,900</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Cost of products sold</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292,199</w:t>
            </w:r>
          </w:p>
        </w:tc>
        <w:tc>
          <w:tcPr>
            <w:tcW w:w="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250,829</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790,287</w:t>
            </w:r>
          </w:p>
        </w:tc>
        <w:tc>
          <w:tcPr>
            <w:tcW w:w="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732,179</w:t>
            </w:r>
          </w:p>
        </w:tc>
        <w:tc>
          <w:tcPr>
            <w:tcW w:w="0" w:type="dxa"/>
            <w:vAlign w:val="bottom"/>
          </w:tcPr>
          <w:p>
            <w:pPr>
              <w:spacing w:after="0"/>
              <w:rPr>
                <w:sz w:val="1"/>
                <w:szCs w:val="1"/>
                <w:color w:val="auto"/>
              </w:rPr>
            </w:pPr>
          </w:p>
        </w:tc>
      </w:tr>
      <w:tr>
        <w:trPr>
          <w:trHeight w:val="263"/>
        </w:trPr>
        <w:tc>
          <w:tcPr>
            <w:tcW w:w="4600" w:type="dxa"/>
            <w:vAlign w:val="bottom"/>
          </w:tcPr>
          <w:p>
            <w:pPr>
              <w:spacing w:after="0"/>
              <w:rPr>
                <w:sz w:val="20"/>
                <w:szCs w:val="20"/>
                <w:color w:val="auto"/>
              </w:rPr>
            </w:pPr>
            <w:r>
              <w:rPr>
                <w:rFonts w:ascii="Arial" w:cs="Arial" w:eastAsia="Arial" w:hAnsi="Arial"/>
                <w:sz w:val="20"/>
                <w:szCs w:val="20"/>
                <w:color w:val="2C2C2C"/>
              </w:rPr>
              <w:t>Gross profit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244,231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217,616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713,102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631,721</w:t>
            </w:r>
          </w:p>
        </w:tc>
        <w:tc>
          <w:tcPr>
            <w:tcW w:w="0" w:type="dxa"/>
            <w:vAlign w:val="bottom"/>
          </w:tcPr>
          <w:p>
            <w:pPr>
              <w:spacing w:after="0"/>
              <w:rPr>
                <w:sz w:val="1"/>
                <w:szCs w:val="1"/>
                <w:color w:val="auto"/>
              </w:rPr>
            </w:pPr>
          </w:p>
        </w:tc>
      </w:tr>
      <w:tr>
        <w:trPr>
          <w:trHeight w:val="540"/>
        </w:trPr>
        <w:tc>
          <w:tcPr>
            <w:tcW w:w="4600" w:type="dxa"/>
            <w:vAlign w:val="bottom"/>
          </w:tcPr>
          <w:p>
            <w:pPr>
              <w:spacing w:after="0"/>
              <w:rPr>
                <w:sz w:val="20"/>
                <w:szCs w:val="20"/>
                <w:color w:val="auto"/>
              </w:rPr>
            </w:pPr>
            <w:r>
              <w:rPr>
                <w:rFonts w:ascii="Arial" w:cs="Arial" w:eastAsia="Arial" w:hAnsi="Arial"/>
                <w:sz w:val="20"/>
                <w:szCs w:val="20"/>
                <w:color w:val="2C2C2C"/>
              </w:rPr>
              <w:t>Selling, general and administrative</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132,377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102,852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354,133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308,895</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Research and development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19,963</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16,521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55,472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49,186</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Restructuring charges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1,780</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58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6,318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2,470</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Currency exchange losses, net</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1,876</w:t>
            </w:r>
          </w:p>
        </w:tc>
        <w:tc>
          <w:tcPr>
            <w:tcW w:w="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3,875</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3,971</w:t>
            </w:r>
          </w:p>
        </w:tc>
        <w:tc>
          <w:tcPr>
            <w:tcW w:w="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13,237</w:t>
            </w:r>
          </w:p>
        </w:tc>
        <w:tc>
          <w:tcPr>
            <w:tcW w:w="0" w:type="dxa"/>
            <w:vAlign w:val="bottom"/>
          </w:tcPr>
          <w:p>
            <w:pPr>
              <w:spacing w:after="0"/>
              <w:rPr>
                <w:sz w:val="1"/>
                <w:szCs w:val="1"/>
                <w:color w:val="auto"/>
              </w:rPr>
            </w:pPr>
          </w:p>
        </w:tc>
      </w:tr>
      <w:tr>
        <w:trPr>
          <w:trHeight w:val="263"/>
        </w:trPr>
        <w:tc>
          <w:tcPr>
            <w:tcW w:w="4600" w:type="dxa"/>
            <w:vAlign w:val="bottom"/>
          </w:tcPr>
          <w:p>
            <w:pPr>
              <w:spacing w:after="0"/>
              <w:rPr>
                <w:sz w:val="20"/>
                <w:szCs w:val="20"/>
                <w:color w:val="auto"/>
              </w:rPr>
            </w:pPr>
            <w:r>
              <w:rPr>
                <w:rFonts w:ascii="Arial" w:cs="Arial" w:eastAsia="Arial" w:hAnsi="Arial"/>
                <w:sz w:val="20"/>
                <w:szCs w:val="20"/>
                <w:color w:val="2C2C2C"/>
              </w:rPr>
              <w:t>Operating income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88,235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94,310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293,208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257,933</w:t>
            </w:r>
          </w:p>
        </w:tc>
        <w:tc>
          <w:tcPr>
            <w:tcW w:w="0" w:type="dxa"/>
            <w:vAlign w:val="bottom"/>
          </w:tcPr>
          <w:p>
            <w:pPr>
              <w:spacing w:after="0"/>
              <w:rPr>
                <w:sz w:val="1"/>
                <w:szCs w:val="1"/>
                <w:color w:val="auto"/>
              </w:rPr>
            </w:pPr>
          </w:p>
        </w:tc>
      </w:tr>
      <w:tr>
        <w:trPr>
          <w:trHeight w:val="540"/>
        </w:trPr>
        <w:tc>
          <w:tcPr>
            <w:tcW w:w="4600" w:type="dxa"/>
            <w:vAlign w:val="bottom"/>
          </w:tcPr>
          <w:p>
            <w:pPr>
              <w:spacing w:after="0"/>
              <w:rPr>
                <w:sz w:val="20"/>
                <w:szCs w:val="20"/>
                <w:color w:val="auto"/>
              </w:rPr>
            </w:pPr>
            <w:r>
              <w:rPr>
                <w:rFonts w:ascii="Arial" w:cs="Arial" w:eastAsia="Arial" w:hAnsi="Arial"/>
                <w:sz w:val="20"/>
                <w:szCs w:val="20"/>
                <w:color w:val="2C2C2C"/>
              </w:rPr>
              <w:t>Interest expense</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13,759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8,416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29,413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23,368</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Other income, net</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(7,478)</w:t>
            </w:r>
          </w:p>
        </w:tc>
        <w:tc>
          <w:tcPr>
            <w:tcW w:w="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(6,562)</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2C2C2C"/>
              </w:rPr>
              <w:t>(22,538)</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(18,585)</w:t>
            </w:r>
          </w:p>
        </w:tc>
        <w:tc>
          <w:tcPr>
            <w:tcW w:w="0" w:type="dxa"/>
            <w:vAlign w:val="bottom"/>
          </w:tcPr>
          <w:p>
            <w:pPr>
              <w:spacing w:after="0"/>
              <w:rPr>
                <w:sz w:val="1"/>
                <w:szCs w:val="1"/>
                <w:color w:val="auto"/>
              </w:rPr>
            </w:pPr>
          </w:p>
        </w:tc>
      </w:tr>
      <w:tr>
        <w:trPr>
          <w:trHeight w:val="263"/>
        </w:trPr>
        <w:tc>
          <w:tcPr>
            <w:tcW w:w="4600" w:type="dxa"/>
            <w:vAlign w:val="bottom"/>
          </w:tcPr>
          <w:p>
            <w:pPr>
              <w:spacing w:after="0"/>
              <w:rPr>
                <w:sz w:val="20"/>
                <w:szCs w:val="20"/>
                <w:color w:val="auto"/>
              </w:rPr>
            </w:pPr>
            <w:r>
              <w:rPr>
                <w:rFonts w:ascii="Arial" w:cs="Arial" w:eastAsia="Arial" w:hAnsi="Arial"/>
                <w:sz w:val="20"/>
                <w:szCs w:val="20"/>
                <w:color w:val="2C2C2C"/>
              </w:rPr>
              <w:t>Total other expense, net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6,281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1,854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6,875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4,783</w:t>
            </w:r>
          </w:p>
        </w:tc>
        <w:tc>
          <w:tcPr>
            <w:tcW w:w="0" w:type="dxa"/>
            <w:vAlign w:val="bottom"/>
          </w:tcPr>
          <w:p>
            <w:pPr>
              <w:spacing w:after="0"/>
              <w:rPr>
                <w:sz w:val="1"/>
                <w:szCs w:val="1"/>
                <w:color w:val="auto"/>
              </w:rPr>
            </w:pPr>
          </w:p>
        </w:tc>
      </w:tr>
      <w:tr>
        <w:trPr>
          <w:trHeight w:val="540"/>
        </w:trPr>
        <w:tc>
          <w:tcPr>
            <w:tcW w:w="4600" w:type="dxa"/>
            <w:vAlign w:val="bottom"/>
          </w:tcPr>
          <w:p>
            <w:pPr>
              <w:spacing w:after="0"/>
              <w:rPr>
                <w:sz w:val="20"/>
                <w:szCs w:val="20"/>
                <w:color w:val="auto"/>
              </w:rPr>
            </w:pPr>
            <w:r>
              <w:rPr>
                <w:rFonts w:ascii="Arial" w:cs="Arial" w:eastAsia="Arial" w:hAnsi="Arial"/>
                <w:sz w:val="20"/>
                <w:szCs w:val="20"/>
                <w:color w:val="2C2C2C"/>
              </w:rPr>
              <w:t>Income before income taxes</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81,954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92,456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286,333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253,150</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Provision for income taxes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23,558</w:t>
            </w:r>
          </w:p>
        </w:tc>
        <w:tc>
          <w:tcPr>
            <w:tcW w:w="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22,843</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70,474</w:t>
            </w:r>
          </w:p>
        </w:tc>
        <w:tc>
          <w:tcPr>
            <w:tcW w:w="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61,159</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20"/>
                <w:szCs w:val="20"/>
                <w:color w:val="2C2C2C"/>
              </w:rPr>
              <w:t>Net income</w:t>
            </w:r>
          </w:p>
        </w:tc>
        <w:tc>
          <w:tcPr>
            <w:tcW w:w="360" w:type="dxa"/>
            <w:vAlign w:val="bottom"/>
          </w:tcPr>
          <w:p>
            <w:pPr>
              <w:ind w:left="20"/>
              <w:spacing w:after="0"/>
              <w:rPr>
                <w:sz w:val="20"/>
                <w:szCs w:val="20"/>
                <w:color w:val="auto"/>
              </w:rPr>
            </w:pPr>
            <w:r>
              <w:rPr>
                <w:rFonts w:ascii="Arial" w:cs="Arial" w:eastAsia="Arial" w:hAnsi="Arial"/>
                <w:sz w:val="20"/>
                <w:szCs w:val="20"/>
                <w:color w:val="2C2C2C"/>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58,396</w:t>
            </w:r>
          </w:p>
        </w:tc>
        <w:tc>
          <w:tcPr>
            <w:tcW w:w="140" w:type="dxa"/>
            <w:vAlign w:val="bottom"/>
          </w:tcPr>
          <w:p>
            <w:pPr>
              <w:spacing w:after="0"/>
              <w:rPr>
                <w:sz w:val="20"/>
                <w:szCs w:val="20"/>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2C2C2C"/>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69,613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2C2C2C"/>
              </w:rPr>
              <w:t>215,859</w:t>
            </w:r>
          </w:p>
        </w:tc>
        <w:tc>
          <w:tcPr>
            <w:tcW w:w="540" w:type="dxa"/>
            <w:vAlign w:val="bottom"/>
            <w:gridSpan w:val="3"/>
          </w:tcPr>
          <w:p>
            <w:pPr>
              <w:jc w:val="right"/>
              <w:ind w:right="200"/>
              <w:spacing w:after="0"/>
              <w:rPr>
                <w:sz w:val="20"/>
                <w:szCs w:val="20"/>
                <w:color w:val="auto"/>
              </w:rPr>
            </w:pPr>
            <w:r>
              <w:rPr>
                <w:rFonts w:ascii="Arial" w:cs="Arial" w:eastAsia="Arial" w:hAnsi="Arial"/>
                <w:sz w:val="20"/>
                <w:szCs w:val="20"/>
                <w:color w:val="2C2C2C"/>
              </w:rPr>
              <w:t>$</w:t>
            </w:r>
          </w:p>
        </w:tc>
        <w:tc>
          <w:tcPr>
            <w:tcW w:w="1160" w:type="dxa"/>
            <w:vAlign w:val="bottom"/>
          </w:tcPr>
          <w:p>
            <w:pPr>
              <w:jc w:val="right"/>
              <w:spacing w:after="0"/>
              <w:rPr>
                <w:sz w:val="20"/>
                <w:szCs w:val="20"/>
                <w:color w:val="auto"/>
              </w:rPr>
            </w:pPr>
            <w:r>
              <w:rPr>
                <w:rFonts w:ascii="Arial" w:cs="Arial" w:eastAsia="Arial" w:hAnsi="Arial"/>
                <w:sz w:val="20"/>
                <w:szCs w:val="20"/>
                <w:color w:val="2C2C2C"/>
              </w:rPr>
              <w:t>191,991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20"/>
                <w:szCs w:val="20"/>
                <w:color w:val="2C2C2C"/>
              </w:rPr>
              <w:t>Earnings per share attributable to common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4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20"/>
                <w:szCs w:val="20"/>
                <w:color w:val="2C2C2C"/>
              </w:rPr>
              <w:t>shareholders: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600" w:type="dxa"/>
            <w:vAlign w:val="bottom"/>
          </w:tcPr>
          <w:p>
            <w:pPr>
              <w:ind w:left="440"/>
              <w:spacing w:after="0"/>
              <w:rPr>
                <w:sz w:val="20"/>
                <w:szCs w:val="20"/>
                <w:color w:val="auto"/>
              </w:rPr>
            </w:pPr>
            <w:r>
              <w:rPr>
                <w:rFonts w:ascii="Arial" w:cs="Arial" w:eastAsia="Arial" w:hAnsi="Arial"/>
                <w:sz w:val="20"/>
                <w:szCs w:val="20"/>
                <w:color w:val="2C2C2C"/>
              </w:rPr>
              <w:t>Basic</w:t>
            </w:r>
          </w:p>
        </w:tc>
        <w:tc>
          <w:tcPr>
            <w:tcW w:w="360" w:type="dxa"/>
            <w:vAlign w:val="bottom"/>
          </w:tcPr>
          <w:p>
            <w:pPr>
              <w:ind w:left="20"/>
              <w:spacing w:after="0"/>
              <w:rPr>
                <w:sz w:val="20"/>
                <w:szCs w:val="20"/>
                <w:color w:val="auto"/>
              </w:rPr>
            </w:pPr>
            <w:r>
              <w:rPr>
                <w:rFonts w:ascii="Arial" w:cs="Arial" w:eastAsia="Arial" w:hAnsi="Arial"/>
                <w:sz w:val="20"/>
                <w:szCs w:val="20"/>
                <w:color w:val="2C2C2C"/>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1.51</w:t>
            </w:r>
          </w:p>
        </w:tc>
        <w:tc>
          <w:tcPr>
            <w:tcW w:w="14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2C2C2C"/>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1.78</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2C2C2C"/>
              </w:rPr>
              <w:t>5.58</w:t>
            </w:r>
          </w:p>
        </w:tc>
        <w:tc>
          <w:tcPr>
            <w:tcW w:w="540" w:type="dxa"/>
            <w:vAlign w:val="bottom"/>
            <w:gridSpan w:val="3"/>
          </w:tcPr>
          <w:p>
            <w:pPr>
              <w:jc w:val="right"/>
              <w:ind w:right="200"/>
              <w:spacing w:after="0"/>
              <w:rPr>
                <w:sz w:val="20"/>
                <w:szCs w:val="20"/>
                <w:color w:val="auto"/>
              </w:rPr>
            </w:pPr>
            <w:r>
              <w:rPr>
                <w:rFonts w:ascii="Arial" w:cs="Arial" w:eastAsia="Arial" w:hAnsi="Arial"/>
                <w:sz w:val="20"/>
                <w:szCs w:val="20"/>
                <w:color w:val="2C2C2C"/>
              </w:rPr>
              <w:t>$</w:t>
            </w:r>
          </w:p>
        </w:tc>
        <w:tc>
          <w:tcPr>
            <w:tcW w:w="1160" w:type="dxa"/>
            <w:vAlign w:val="bottom"/>
          </w:tcPr>
          <w:p>
            <w:pPr>
              <w:jc w:val="right"/>
              <w:spacing w:after="0"/>
              <w:rPr>
                <w:sz w:val="20"/>
                <w:szCs w:val="20"/>
                <w:color w:val="auto"/>
              </w:rPr>
            </w:pPr>
            <w:r>
              <w:rPr>
                <w:rFonts w:ascii="Arial" w:cs="Arial" w:eastAsia="Arial" w:hAnsi="Arial"/>
                <w:sz w:val="20"/>
                <w:szCs w:val="20"/>
                <w:color w:val="2C2C2C"/>
              </w:rPr>
              <w:t>4.89</w:t>
            </w:r>
          </w:p>
        </w:tc>
        <w:tc>
          <w:tcPr>
            <w:tcW w:w="0" w:type="dxa"/>
            <w:vAlign w:val="bottom"/>
          </w:tcPr>
          <w:p>
            <w:pPr>
              <w:spacing w:after="0"/>
              <w:rPr>
                <w:sz w:val="1"/>
                <w:szCs w:val="1"/>
                <w:color w:val="auto"/>
              </w:rPr>
            </w:pPr>
          </w:p>
        </w:tc>
      </w:tr>
      <w:tr>
        <w:trPr>
          <w:trHeight w:val="270"/>
        </w:trPr>
        <w:tc>
          <w:tcPr>
            <w:tcW w:w="4600" w:type="dxa"/>
            <w:vAlign w:val="bottom"/>
          </w:tcPr>
          <w:p>
            <w:pPr>
              <w:ind w:left="440"/>
              <w:spacing w:after="0"/>
              <w:rPr>
                <w:sz w:val="20"/>
                <w:szCs w:val="20"/>
                <w:color w:val="auto"/>
              </w:rPr>
            </w:pPr>
            <w:r>
              <w:rPr>
                <w:rFonts w:ascii="Arial" w:cs="Arial" w:eastAsia="Arial" w:hAnsi="Arial"/>
                <w:sz w:val="20"/>
                <w:szCs w:val="20"/>
                <w:color w:val="2C2C2C"/>
              </w:rPr>
              <w:t>Diluted</w:t>
            </w:r>
          </w:p>
        </w:tc>
        <w:tc>
          <w:tcPr>
            <w:tcW w:w="360" w:type="dxa"/>
            <w:vAlign w:val="bottom"/>
          </w:tcPr>
          <w:p>
            <w:pPr>
              <w:ind w:left="20"/>
              <w:spacing w:after="0"/>
              <w:rPr>
                <w:sz w:val="20"/>
                <w:szCs w:val="20"/>
                <w:color w:val="auto"/>
              </w:rPr>
            </w:pPr>
            <w:r>
              <w:rPr>
                <w:rFonts w:ascii="Arial" w:cs="Arial" w:eastAsia="Arial" w:hAnsi="Arial"/>
                <w:sz w:val="20"/>
                <w:szCs w:val="20"/>
                <w:color w:val="2C2C2C"/>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1.51</w:t>
            </w:r>
          </w:p>
        </w:tc>
        <w:tc>
          <w:tcPr>
            <w:tcW w:w="140" w:type="dxa"/>
            <w:vAlign w:val="bottom"/>
          </w:tcPr>
          <w:p>
            <w:pPr>
              <w:spacing w:after="0"/>
              <w:rPr>
                <w:sz w:val="23"/>
                <w:szCs w:val="23"/>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2C2C2C"/>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2C2C2C"/>
              </w:rPr>
              <w:t>1.77</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2C2C2C"/>
              </w:rPr>
              <w:t>5.57</w:t>
            </w:r>
          </w:p>
        </w:tc>
        <w:tc>
          <w:tcPr>
            <w:tcW w:w="540" w:type="dxa"/>
            <w:vAlign w:val="bottom"/>
            <w:gridSpan w:val="3"/>
          </w:tcPr>
          <w:p>
            <w:pPr>
              <w:jc w:val="right"/>
              <w:ind w:right="200"/>
              <w:spacing w:after="0"/>
              <w:rPr>
                <w:sz w:val="20"/>
                <w:szCs w:val="20"/>
                <w:color w:val="auto"/>
              </w:rPr>
            </w:pPr>
            <w:r>
              <w:rPr>
                <w:rFonts w:ascii="Arial" w:cs="Arial" w:eastAsia="Arial" w:hAnsi="Arial"/>
                <w:sz w:val="20"/>
                <w:szCs w:val="20"/>
                <w:color w:val="2C2C2C"/>
              </w:rPr>
              <w:t>$</w:t>
            </w:r>
          </w:p>
        </w:tc>
        <w:tc>
          <w:tcPr>
            <w:tcW w:w="1160" w:type="dxa"/>
            <w:vAlign w:val="bottom"/>
          </w:tcPr>
          <w:p>
            <w:pPr>
              <w:jc w:val="right"/>
              <w:spacing w:after="0"/>
              <w:rPr>
                <w:sz w:val="20"/>
                <w:szCs w:val="20"/>
                <w:color w:val="auto"/>
              </w:rPr>
            </w:pPr>
            <w:r>
              <w:rPr>
                <w:rFonts w:ascii="Arial" w:cs="Arial" w:eastAsia="Arial" w:hAnsi="Arial"/>
                <w:sz w:val="20"/>
                <w:szCs w:val="20"/>
                <w:color w:val="2C2C2C"/>
              </w:rPr>
              <w:t>4.87</w:t>
            </w:r>
          </w:p>
        </w:tc>
        <w:tc>
          <w:tcPr>
            <w:tcW w:w="0" w:type="dxa"/>
            <w:vAlign w:val="bottom"/>
          </w:tcPr>
          <w:p>
            <w:pPr>
              <w:spacing w:after="0"/>
              <w:rPr>
                <w:sz w:val="1"/>
                <w:szCs w:val="1"/>
                <w:color w:val="auto"/>
              </w:rPr>
            </w:pPr>
          </w:p>
        </w:tc>
      </w:tr>
      <w:tr>
        <w:trPr>
          <w:trHeight w:val="540"/>
        </w:trPr>
        <w:tc>
          <w:tcPr>
            <w:tcW w:w="4600" w:type="dxa"/>
            <w:vAlign w:val="bottom"/>
          </w:tcPr>
          <w:p>
            <w:pPr>
              <w:spacing w:after="0"/>
              <w:rPr>
                <w:sz w:val="20"/>
                <w:szCs w:val="20"/>
                <w:color w:val="auto"/>
              </w:rPr>
            </w:pPr>
            <w:r>
              <w:rPr>
                <w:rFonts w:ascii="Arial" w:cs="Arial" w:eastAsia="Arial" w:hAnsi="Arial"/>
                <w:sz w:val="20"/>
                <w:szCs w:val="20"/>
                <w:color w:val="2C2C2C"/>
              </w:rPr>
              <w:t>Basic shares outstanding</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38,564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39,168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38,681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39,253</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Diluted shares outstanding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38,647</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C2C2C"/>
              </w:rPr>
              <w:t>39,280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38,776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39,380</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140"/>
          </w:cols>
          <w:pgMar w:left="320" w:top="127" w:right="4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22"/>
          <w:szCs w:val="22"/>
          <w:color w:val="242424"/>
        </w:rPr>
        <w:t>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C2C2C"/>
        </w:rPr>
        <w:t>Condensed Consolidated Balance Sheets (Unaudited)</w:t>
      </w:r>
    </w:p>
    <w:p>
      <w:pPr>
        <w:spacing w:after="0"/>
        <w:rPr>
          <w:sz w:val="20"/>
          <w:szCs w:val="20"/>
          <w:color w:val="auto"/>
        </w:rPr>
      </w:pPr>
      <w:r>
        <w:rPr>
          <w:rFonts w:ascii="Arial" w:cs="Arial" w:eastAsia="Arial" w:hAnsi="Arial"/>
          <w:sz w:val="20"/>
          <w:szCs w:val="20"/>
          <w:color w:val="2C2C2C"/>
        </w:rPr>
        <w:t>(In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60" w:type="dxa"/>
            <w:vAlign w:val="bottom"/>
            <w:gridSpan w:val="2"/>
          </w:tcPr>
          <w:p>
            <w:pPr>
              <w:ind w:left="180"/>
              <w:spacing w:after="0"/>
              <w:rPr>
                <w:sz w:val="20"/>
                <w:szCs w:val="20"/>
                <w:color w:val="auto"/>
              </w:rPr>
            </w:pPr>
            <w:r>
              <w:rPr>
                <w:rFonts w:ascii="Arial" w:cs="Arial" w:eastAsia="Arial" w:hAnsi="Arial"/>
                <w:sz w:val="20"/>
                <w:szCs w:val="20"/>
                <w:color w:val="2C2C2C"/>
              </w:rPr>
              <w:t>September 30, 2026</w:t>
            </w:r>
          </w:p>
        </w:tc>
        <w:tc>
          <w:tcPr>
            <w:tcW w:w="180" w:type="dxa"/>
            <w:vAlign w:val="bottom"/>
          </w:tcPr>
          <w:p>
            <w:pPr>
              <w:spacing w:after="0"/>
              <w:rPr>
                <w:sz w:val="22"/>
                <w:szCs w:val="22"/>
                <w:color w:val="auto"/>
              </w:rPr>
            </w:pPr>
          </w:p>
        </w:tc>
        <w:tc>
          <w:tcPr>
            <w:tcW w:w="2060" w:type="dxa"/>
            <w:vAlign w:val="bottom"/>
          </w:tcPr>
          <w:p>
            <w:pPr>
              <w:jc w:val="right"/>
              <w:ind w:right="161"/>
              <w:spacing w:after="0"/>
              <w:rPr>
                <w:sz w:val="20"/>
                <w:szCs w:val="20"/>
                <w:color w:val="auto"/>
              </w:rPr>
            </w:pPr>
            <w:r>
              <w:rPr>
                <w:rFonts w:ascii="Arial" w:cs="Arial" w:eastAsia="Arial" w:hAnsi="Arial"/>
                <w:sz w:val="20"/>
                <w:szCs w:val="20"/>
                <w:color w:val="2C2C2C"/>
              </w:rPr>
              <w:t>December 31, 2025</w:t>
            </w:r>
          </w:p>
        </w:tc>
        <w:tc>
          <w:tcPr>
            <w:tcW w:w="0" w:type="dxa"/>
            <w:vAlign w:val="bottom"/>
          </w:tcPr>
          <w:p>
            <w:pPr>
              <w:spacing w:after="0"/>
              <w:rPr>
                <w:sz w:val="1"/>
                <w:szCs w:val="1"/>
                <w:color w:val="auto"/>
              </w:rPr>
            </w:pPr>
          </w:p>
        </w:tc>
      </w:tr>
      <w:tr>
        <w:trPr>
          <w:trHeight w:val="507"/>
        </w:trPr>
        <w:tc>
          <w:tcPr>
            <w:tcW w:w="5940" w:type="dxa"/>
            <w:vAlign w:val="bottom"/>
          </w:tcPr>
          <w:p>
            <w:pPr>
              <w:spacing w:after="0"/>
              <w:rPr>
                <w:sz w:val="20"/>
                <w:szCs w:val="20"/>
                <w:color w:val="auto"/>
              </w:rPr>
            </w:pPr>
            <w:r>
              <w:rPr>
                <w:rFonts w:ascii="Arial" w:cs="Arial" w:eastAsia="Arial" w:hAnsi="Arial"/>
                <w:sz w:val="20"/>
                <w:szCs w:val="20"/>
                <w:color w:val="2C2C2C"/>
              </w:rPr>
              <w:t>Assets</w:t>
            </w:r>
          </w:p>
        </w:tc>
        <w:tc>
          <w:tcPr>
            <w:tcW w:w="32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0"/>
                <w:szCs w:val="20"/>
                <w:color w:val="auto"/>
              </w:rPr>
            </w:pPr>
            <w:r>
              <w:rPr>
                <w:rFonts w:ascii="Arial" w:cs="Arial" w:eastAsia="Arial" w:hAnsi="Arial"/>
                <w:sz w:val="20"/>
                <w:szCs w:val="20"/>
                <w:color w:val="2C2C2C"/>
              </w:rPr>
              <w:t>Cash and cash equivalents</w:t>
            </w:r>
          </w:p>
        </w:tc>
        <w:tc>
          <w:tcPr>
            <w:tcW w:w="320" w:type="dxa"/>
            <w:vAlign w:val="bottom"/>
          </w:tcPr>
          <w:p>
            <w:pPr>
              <w:jc w:val="right"/>
              <w:ind w:right="101"/>
              <w:spacing w:after="0"/>
              <w:rPr>
                <w:sz w:val="20"/>
                <w:szCs w:val="20"/>
                <w:color w:val="auto"/>
              </w:rPr>
            </w:pPr>
            <w:r>
              <w:rPr>
                <w:rFonts w:ascii="Arial" w:cs="Arial" w:eastAsia="Arial" w:hAnsi="Arial"/>
                <w:sz w:val="20"/>
                <w:szCs w:val="20"/>
                <w:color w:val="2C2C2C"/>
                <w:w w:val="89"/>
              </w:rPr>
              <w:t>$</w:t>
            </w:r>
          </w:p>
        </w:tc>
        <w:tc>
          <w:tcPr>
            <w:tcW w:w="2460" w:type="dxa"/>
            <w:vAlign w:val="bottom"/>
          </w:tcPr>
          <w:p>
            <w:pPr>
              <w:jc w:val="right"/>
              <w:spacing w:after="0"/>
              <w:rPr>
                <w:sz w:val="20"/>
                <w:szCs w:val="20"/>
                <w:color w:val="auto"/>
              </w:rPr>
            </w:pPr>
            <w:r>
              <w:rPr>
                <w:rFonts w:ascii="Arial" w:cs="Arial" w:eastAsia="Arial" w:hAnsi="Arial"/>
                <w:sz w:val="20"/>
                <w:szCs w:val="20"/>
                <w:color w:val="2C2C2C"/>
              </w:rPr>
              <w:t>187,248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2060" w:type="dxa"/>
            <w:vAlign w:val="bottom"/>
          </w:tcPr>
          <w:p>
            <w:pPr>
              <w:jc w:val="right"/>
              <w:spacing w:after="0"/>
              <w:rPr>
                <w:sz w:val="20"/>
                <w:szCs w:val="20"/>
                <w:color w:val="auto"/>
              </w:rPr>
            </w:pPr>
            <w:r>
              <w:rPr>
                <w:rFonts w:ascii="Arial" w:cs="Arial" w:eastAsia="Arial" w:hAnsi="Arial"/>
                <w:sz w:val="20"/>
                <w:szCs w:val="20"/>
                <w:color w:val="2C2C2C"/>
              </w:rPr>
              <w:t>165,067</w:t>
            </w: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0"/>
                <w:szCs w:val="20"/>
                <w:color w:val="auto"/>
              </w:rPr>
            </w:pPr>
            <w:r>
              <w:rPr>
                <w:rFonts w:ascii="Arial" w:cs="Arial" w:eastAsia="Arial" w:hAnsi="Arial"/>
                <w:sz w:val="20"/>
                <w:szCs w:val="20"/>
                <w:color w:val="2C2C2C"/>
              </w:rPr>
              <w:t>Trade receivables, net</w:t>
            </w:r>
          </w:p>
        </w:tc>
        <w:tc>
          <w:tcPr>
            <w:tcW w:w="3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374,211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306,452</w:t>
            </w: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0"/>
                <w:szCs w:val="20"/>
                <w:color w:val="auto"/>
              </w:rPr>
            </w:pPr>
            <w:r>
              <w:rPr>
                <w:rFonts w:ascii="Arial" w:cs="Arial" w:eastAsia="Arial" w:hAnsi="Arial"/>
                <w:sz w:val="20"/>
                <w:szCs w:val="20"/>
                <w:color w:val="2C2C2C"/>
              </w:rPr>
              <w:t>Inventories</w:t>
            </w:r>
          </w:p>
        </w:tc>
        <w:tc>
          <w:tcPr>
            <w:tcW w:w="3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370,595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343,035</w:t>
            </w:r>
          </w:p>
        </w:tc>
        <w:tc>
          <w:tcPr>
            <w:tcW w:w="0" w:type="dxa"/>
            <w:vAlign w:val="bottom"/>
          </w:tcPr>
          <w:p>
            <w:pPr>
              <w:spacing w:after="0"/>
              <w:rPr>
                <w:sz w:val="1"/>
                <w:szCs w:val="1"/>
                <w:color w:val="auto"/>
              </w:rPr>
            </w:pPr>
          </w:p>
        </w:tc>
      </w:tr>
      <w:tr>
        <w:trPr>
          <w:trHeight w:val="380"/>
        </w:trPr>
        <w:tc>
          <w:tcPr>
            <w:tcW w:w="5940" w:type="dxa"/>
            <w:vAlign w:val="bottom"/>
          </w:tcPr>
          <w:p>
            <w:pPr>
              <w:spacing w:after="0"/>
              <w:rPr>
                <w:sz w:val="20"/>
                <w:szCs w:val="20"/>
                <w:color w:val="auto"/>
              </w:rPr>
            </w:pPr>
            <w:r>
              <w:rPr>
                <w:rFonts w:ascii="Arial" w:cs="Arial" w:eastAsia="Arial" w:hAnsi="Arial"/>
                <w:sz w:val="20"/>
                <w:szCs w:val="20"/>
                <w:color w:val="2C2C2C"/>
              </w:rPr>
              <w:t>Other current assets</w:t>
            </w: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58,690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54,738</w:t>
            </w:r>
          </w:p>
        </w:tc>
        <w:tc>
          <w:tcPr>
            <w:tcW w:w="0" w:type="dxa"/>
            <w:vAlign w:val="bottom"/>
          </w:tcPr>
          <w:p>
            <w:pPr>
              <w:spacing w:after="0"/>
              <w:rPr>
                <w:sz w:val="1"/>
                <w:szCs w:val="1"/>
                <w:color w:val="auto"/>
              </w:rPr>
            </w:pPr>
          </w:p>
        </w:tc>
      </w:tr>
      <w:tr>
        <w:trPr>
          <w:trHeight w:val="356"/>
        </w:trPr>
        <w:tc>
          <w:tcPr>
            <w:tcW w:w="5940" w:type="dxa"/>
            <w:vAlign w:val="bottom"/>
          </w:tcPr>
          <w:p>
            <w:pPr>
              <w:ind w:left="220"/>
              <w:spacing w:after="0"/>
              <w:rPr>
                <w:sz w:val="20"/>
                <w:szCs w:val="20"/>
                <w:color w:val="auto"/>
              </w:rPr>
            </w:pPr>
            <w:r>
              <w:rPr>
                <w:rFonts w:ascii="Arial" w:cs="Arial" w:eastAsia="Arial" w:hAnsi="Arial"/>
                <w:sz w:val="20"/>
                <w:szCs w:val="20"/>
                <w:color w:val="2C2C2C"/>
              </w:rPr>
              <w:t>Total current assets</w:t>
            </w:r>
          </w:p>
        </w:tc>
        <w:tc>
          <w:tcPr>
            <w:tcW w:w="3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990,744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869,292</w:t>
            </w:r>
          </w:p>
        </w:tc>
        <w:tc>
          <w:tcPr>
            <w:tcW w:w="0" w:type="dxa"/>
            <w:vAlign w:val="bottom"/>
          </w:tcPr>
          <w:p>
            <w:pPr>
              <w:spacing w:after="0"/>
              <w:rPr>
                <w:sz w:val="1"/>
                <w:szCs w:val="1"/>
                <w:color w:val="auto"/>
              </w:rPr>
            </w:pPr>
          </w:p>
        </w:tc>
      </w:tr>
      <w:tr>
        <w:trPr>
          <w:trHeight w:val="540"/>
        </w:trPr>
        <w:tc>
          <w:tcPr>
            <w:tcW w:w="5940" w:type="dxa"/>
            <w:vAlign w:val="bottom"/>
          </w:tcPr>
          <w:p>
            <w:pPr>
              <w:spacing w:after="0"/>
              <w:rPr>
                <w:sz w:val="20"/>
                <w:szCs w:val="20"/>
                <w:color w:val="auto"/>
              </w:rPr>
            </w:pPr>
            <w:r>
              <w:rPr>
                <w:rFonts w:ascii="Arial" w:cs="Arial" w:eastAsia="Arial" w:hAnsi="Arial"/>
                <w:sz w:val="20"/>
                <w:szCs w:val="20"/>
                <w:color w:val="2C2C2C"/>
              </w:rPr>
              <w:t>Property, plant and equipment, net</w:t>
            </w:r>
          </w:p>
        </w:tc>
        <w:tc>
          <w:tcPr>
            <w:tcW w:w="3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282,269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283,063</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2C2C2C"/>
              </w:rPr>
              <w:t>Prepaid pension cost</w:t>
            </w:r>
          </w:p>
        </w:tc>
        <w:tc>
          <w:tcPr>
            <w:tcW w:w="32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297,101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279,450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2C2C2C"/>
              </w:rPr>
              <w:t>Goodwill</w:t>
            </w:r>
          </w:p>
        </w:tc>
        <w:tc>
          <w:tcPr>
            <w:tcW w:w="32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1,044,108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731,592</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2C2C2C"/>
              </w:rPr>
              <w:t>Intangible assets, net</w:t>
            </w:r>
          </w:p>
        </w:tc>
        <w:tc>
          <w:tcPr>
            <w:tcW w:w="32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558,574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299,127</w:t>
            </w:r>
          </w:p>
        </w:tc>
        <w:tc>
          <w:tcPr>
            <w:tcW w:w="0" w:type="dxa"/>
            <w:vAlign w:val="bottom"/>
          </w:tcPr>
          <w:p>
            <w:pPr>
              <w:spacing w:after="0"/>
              <w:rPr>
                <w:sz w:val="1"/>
                <w:szCs w:val="1"/>
                <w:color w:val="auto"/>
              </w:rPr>
            </w:pPr>
          </w:p>
        </w:tc>
      </w:tr>
      <w:tr>
        <w:trPr>
          <w:trHeight w:val="272"/>
        </w:trPr>
        <w:tc>
          <w:tcPr>
            <w:tcW w:w="5940" w:type="dxa"/>
            <w:vAlign w:val="bottom"/>
          </w:tcPr>
          <w:p>
            <w:pPr>
              <w:spacing w:after="0"/>
              <w:rPr>
                <w:sz w:val="20"/>
                <w:szCs w:val="20"/>
                <w:color w:val="auto"/>
              </w:rPr>
            </w:pPr>
            <w:r>
              <w:rPr>
                <w:rFonts w:ascii="Arial" w:cs="Arial" w:eastAsia="Arial" w:hAnsi="Arial"/>
                <w:sz w:val="20"/>
                <w:szCs w:val="20"/>
                <w:color w:val="2C2C2C"/>
              </w:rPr>
              <w:t>Other noncurrent assets</w:t>
            </w:r>
          </w:p>
        </w:tc>
        <w:tc>
          <w:tcPr>
            <w:tcW w:w="32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105,516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91,850</w:t>
            </w:r>
          </w:p>
        </w:tc>
        <w:tc>
          <w:tcPr>
            <w:tcW w:w="0" w:type="dxa"/>
            <w:vAlign w:val="bottom"/>
          </w:tcPr>
          <w:p>
            <w:pPr>
              <w:spacing w:after="0"/>
              <w:rPr>
                <w:sz w:val="1"/>
                <w:szCs w:val="1"/>
                <w:color w:val="auto"/>
              </w:rPr>
            </w:pPr>
          </w:p>
        </w:tc>
      </w:tr>
      <w:tr>
        <w:trPr>
          <w:trHeight w:val="333"/>
        </w:trPr>
        <w:tc>
          <w:tcPr>
            <w:tcW w:w="5940" w:type="dxa"/>
            <w:vAlign w:val="bottom"/>
          </w:tcPr>
          <w:p>
            <w:pPr>
              <w:ind w:left="160"/>
              <w:spacing w:after="0"/>
              <w:rPr>
                <w:sz w:val="20"/>
                <w:szCs w:val="20"/>
                <w:color w:val="auto"/>
              </w:rPr>
            </w:pPr>
            <w:r>
              <w:rPr>
                <w:rFonts w:ascii="Arial" w:cs="Arial" w:eastAsia="Arial" w:hAnsi="Arial"/>
                <w:sz w:val="20"/>
                <w:szCs w:val="20"/>
                <w:color w:val="2C2C2C"/>
              </w:rPr>
              <w:t>Total assets</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2C2C2C"/>
                <w:w w:val="8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3,278,312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2,554,374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0"/>
                <w:szCs w:val="20"/>
                <w:color w:val="2C2C2C"/>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3"/>
        </w:trPr>
        <w:tc>
          <w:tcPr>
            <w:tcW w:w="5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0"/>
                <w:szCs w:val="20"/>
                <w:color w:val="auto"/>
              </w:rPr>
            </w:pPr>
            <w:r>
              <w:rPr>
                <w:rFonts w:ascii="Arial" w:cs="Arial" w:eastAsia="Arial" w:hAnsi="Arial"/>
                <w:sz w:val="20"/>
                <w:szCs w:val="20"/>
                <w:color w:val="2C2C2C"/>
              </w:rPr>
              <w:t>Notes payable and current portion of long-term debt, net</w:t>
            </w:r>
          </w:p>
        </w:tc>
        <w:tc>
          <w:tcPr>
            <w:tcW w:w="320" w:type="dxa"/>
            <w:vAlign w:val="bottom"/>
          </w:tcPr>
          <w:p>
            <w:pPr>
              <w:jc w:val="right"/>
              <w:ind w:right="101"/>
              <w:spacing w:after="0"/>
              <w:rPr>
                <w:sz w:val="20"/>
                <w:szCs w:val="20"/>
                <w:color w:val="auto"/>
              </w:rPr>
            </w:pPr>
            <w:r>
              <w:rPr>
                <w:rFonts w:ascii="Arial" w:cs="Arial" w:eastAsia="Arial" w:hAnsi="Arial"/>
                <w:sz w:val="20"/>
                <w:szCs w:val="20"/>
                <w:color w:val="2C2C2C"/>
                <w:w w:val="89"/>
              </w:rPr>
              <w:t>$</w:t>
            </w:r>
          </w:p>
        </w:tc>
        <w:tc>
          <w:tcPr>
            <w:tcW w:w="2460" w:type="dxa"/>
            <w:vAlign w:val="bottom"/>
          </w:tcPr>
          <w:p>
            <w:pPr>
              <w:jc w:val="right"/>
              <w:spacing w:after="0"/>
              <w:rPr>
                <w:sz w:val="20"/>
                <w:szCs w:val="20"/>
                <w:color w:val="auto"/>
              </w:rPr>
            </w:pPr>
            <w:r>
              <w:rPr>
                <w:rFonts w:ascii="Arial" w:cs="Arial" w:eastAsia="Arial" w:hAnsi="Arial"/>
                <w:sz w:val="20"/>
                <w:szCs w:val="20"/>
                <w:color w:val="2C2C2C"/>
              </w:rPr>
              <w:t>33,098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2060" w:type="dxa"/>
            <w:vAlign w:val="bottom"/>
          </w:tcPr>
          <w:p>
            <w:pPr>
              <w:jc w:val="right"/>
              <w:spacing w:after="0"/>
              <w:rPr>
                <w:sz w:val="20"/>
                <w:szCs w:val="20"/>
                <w:color w:val="auto"/>
              </w:rPr>
            </w:pPr>
            <w:r>
              <w:rPr>
                <w:rFonts w:ascii="Arial" w:cs="Arial" w:eastAsia="Arial" w:hAnsi="Arial"/>
                <w:sz w:val="20"/>
                <w:szCs w:val="20"/>
                <w:color w:val="2C2C2C"/>
              </w:rPr>
              <w:t>8,225</w:t>
            </w: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0"/>
                <w:szCs w:val="20"/>
                <w:color w:val="auto"/>
              </w:rPr>
            </w:pPr>
            <w:r>
              <w:rPr>
                <w:rFonts w:ascii="Arial" w:cs="Arial" w:eastAsia="Arial" w:hAnsi="Arial"/>
                <w:sz w:val="20"/>
                <w:szCs w:val="20"/>
                <w:color w:val="2C2C2C"/>
              </w:rPr>
              <w:t>Accounts payable</w:t>
            </w:r>
          </w:p>
        </w:tc>
        <w:tc>
          <w:tcPr>
            <w:tcW w:w="3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145,800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110,775</w:t>
            </w:r>
          </w:p>
        </w:tc>
        <w:tc>
          <w:tcPr>
            <w:tcW w:w="0" w:type="dxa"/>
            <w:vAlign w:val="bottom"/>
          </w:tcPr>
          <w:p>
            <w:pPr>
              <w:spacing w:after="0"/>
              <w:rPr>
                <w:sz w:val="1"/>
                <w:szCs w:val="1"/>
                <w:color w:val="auto"/>
              </w:rPr>
            </w:pPr>
          </w:p>
        </w:tc>
      </w:tr>
      <w:tr>
        <w:trPr>
          <w:trHeight w:val="380"/>
        </w:trPr>
        <w:tc>
          <w:tcPr>
            <w:tcW w:w="5940" w:type="dxa"/>
            <w:vAlign w:val="bottom"/>
          </w:tcPr>
          <w:p>
            <w:pPr>
              <w:spacing w:after="0"/>
              <w:rPr>
                <w:sz w:val="20"/>
                <w:szCs w:val="20"/>
                <w:color w:val="auto"/>
              </w:rPr>
            </w:pPr>
            <w:r>
              <w:rPr>
                <w:rFonts w:ascii="Arial" w:cs="Arial" w:eastAsia="Arial" w:hAnsi="Arial"/>
                <w:sz w:val="20"/>
                <w:szCs w:val="20"/>
                <w:color w:val="2C2C2C"/>
              </w:rPr>
              <w:t>Other current liabilities</w:t>
            </w: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194,800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170,211</w:t>
            </w:r>
          </w:p>
        </w:tc>
        <w:tc>
          <w:tcPr>
            <w:tcW w:w="0" w:type="dxa"/>
            <w:vAlign w:val="bottom"/>
          </w:tcPr>
          <w:p>
            <w:pPr>
              <w:spacing w:after="0"/>
              <w:rPr>
                <w:sz w:val="1"/>
                <w:szCs w:val="1"/>
                <w:color w:val="auto"/>
              </w:rPr>
            </w:pPr>
          </w:p>
        </w:tc>
      </w:tr>
      <w:tr>
        <w:trPr>
          <w:trHeight w:val="356"/>
        </w:trPr>
        <w:tc>
          <w:tcPr>
            <w:tcW w:w="5940" w:type="dxa"/>
            <w:vAlign w:val="bottom"/>
          </w:tcPr>
          <w:p>
            <w:pPr>
              <w:ind w:left="160"/>
              <w:spacing w:after="0"/>
              <w:rPr>
                <w:sz w:val="20"/>
                <w:szCs w:val="20"/>
                <w:color w:val="auto"/>
              </w:rPr>
            </w:pPr>
            <w:r>
              <w:rPr>
                <w:rFonts w:ascii="Arial" w:cs="Arial" w:eastAsia="Arial" w:hAnsi="Arial"/>
                <w:sz w:val="20"/>
                <w:szCs w:val="20"/>
                <w:color w:val="2C2C2C"/>
              </w:rPr>
              <w:t>Total current liabilities</w:t>
            </w:r>
          </w:p>
        </w:tc>
        <w:tc>
          <w:tcPr>
            <w:tcW w:w="3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373,698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289,211</w:t>
            </w:r>
          </w:p>
        </w:tc>
        <w:tc>
          <w:tcPr>
            <w:tcW w:w="0" w:type="dxa"/>
            <w:vAlign w:val="bottom"/>
          </w:tcPr>
          <w:p>
            <w:pPr>
              <w:spacing w:after="0"/>
              <w:rPr>
                <w:sz w:val="1"/>
                <w:szCs w:val="1"/>
                <w:color w:val="auto"/>
              </w:rPr>
            </w:pPr>
          </w:p>
        </w:tc>
      </w:tr>
      <w:tr>
        <w:trPr>
          <w:trHeight w:val="540"/>
        </w:trPr>
        <w:tc>
          <w:tcPr>
            <w:tcW w:w="5940" w:type="dxa"/>
            <w:vAlign w:val="bottom"/>
          </w:tcPr>
          <w:p>
            <w:pPr>
              <w:spacing w:after="0"/>
              <w:rPr>
                <w:sz w:val="20"/>
                <w:szCs w:val="20"/>
                <w:color w:val="auto"/>
              </w:rPr>
            </w:pPr>
            <w:r>
              <w:rPr>
                <w:rFonts w:ascii="Arial" w:cs="Arial" w:eastAsia="Arial" w:hAnsi="Arial"/>
                <w:sz w:val="20"/>
                <w:szCs w:val="20"/>
                <w:color w:val="2C2C2C"/>
              </w:rPr>
              <w:t>Long-term debt, net</w:t>
            </w:r>
          </w:p>
        </w:tc>
        <w:tc>
          <w:tcPr>
            <w:tcW w:w="3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1,088,108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572,709</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2C2C2C"/>
              </w:rPr>
              <w:t>Pensions and other employee benefits</w:t>
            </w:r>
          </w:p>
        </w:tc>
        <w:tc>
          <w:tcPr>
            <w:tcW w:w="32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139,464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143,834</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2C2C2C"/>
              </w:rPr>
              <w:t>Deferred tax liabilities</w:t>
            </w:r>
          </w:p>
        </w:tc>
        <w:tc>
          <w:tcPr>
            <w:tcW w:w="32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172,328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127,540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0"/>
                <w:szCs w:val="20"/>
                <w:color w:val="2C2C2C"/>
              </w:rPr>
              <w:t>Other noncurrent liabilities</w:t>
            </w:r>
          </w:p>
        </w:tc>
        <w:tc>
          <w:tcPr>
            <w:tcW w:w="32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2C2C2C"/>
              </w:rPr>
              <w:t>70,727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2C2C2C"/>
              </w:rPr>
              <w:t>54,068</w:t>
            </w:r>
          </w:p>
        </w:tc>
        <w:tc>
          <w:tcPr>
            <w:tcW w:w="0" w:type="dxa"/>
            <w:vAlign w:val="bottom"/>
          </w:tcPr>
          <w:p>
            <w:pPr>
              <w:spacing w:after="0"/>
              <w:rPr>
                <w:sz w:val="1"/>
                <w:szCs w:val="1"/>
                <w:color w:val="auto"/>
              </w:rPr>
            </w:pPr>
          </w:p>
        </w:tc>
      </w:tr>
      <w:tr>
        <w:trPr>
          <w:trHeight w:val="272"/>
        </w:trPr>
        <w:tc>
          <w:tcPr>
            <w:tcW w:w="5940" w:type="dxa"/>
            <w:vAlign w:val="bottom"/>
          </w:tcPr>
          <w:p>
            <w:pPr>
              <w:spacing w:after="0"/>
              <w:rPr>
                <w:sz w:val="20"/>
                <w:szCs w:val="20"/>
                <w:color w:val="auto"/>
              </w:rPr>
            </w:pPr>
            <w:r>
              <w:rPr>
                <w:rFonts w:ascii="Arial" w:cs="Arial" w:eastAsia="Arial" w:hAnsi="Arial"/>
                <w:sz w:val="20"/>
                <w:szCs w:val="20"/>
                <w:color w:val="2C2C2C"/>
              </w:rPr>
              <w:t>Total shareholders' equity</w:t>
            </w:r>
          </w:p>
        </w:tc>
        <w:tc>
          <w:tcPr>
            <w:tcW w:w="32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1,433,987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1,367,012</w:t>
            </w:r>
          </w:p>
        </w:tc>
        <w:tc>
          <w:tcPr>
            <w:tcW w:w="0" w:type="dxa"/>
            <w:vAlign w:val="bottom"/>
          </w:tcPr>
          <w:p>
            <w:pPr>
              <w:spacing w:after="0"/>
              <w:rPr>
                <w:sz w:val="1"/>
                <w:szCs w:val="1"/>
                <w:color w:val="auto"/>
              </w:rPr>
            </w:pPr>
          </w:p>
        </w:tc>
      </w:tr>
      <w:tr>
        <w:trPr>
          <w:trHeight w:val="333"/>
        </w:trPr>
        <w:tc>
          <w:tcPr>
            <w:tcW w:w="5940" w:type="dxa"/>
            <w:vAlign w:val="bottom"/>
          </w:tcPr>
          <w:p>
            <w:pPr>
              <w:ind w:left="160"/>
              <w:spacing w:after="0"/>
              <w:rPr>
                <w:sz w:val="20"/>
                <w:szCs w:val="20"/>
                <w:color w:val="auto"/>
              </w:rPr>
            </w:pPr>
            <w:r>
              <w:rPr>
                <w:rFonts w:ascii="Arial" w:cs="Arial" w:eastAsia="Arial" w:hAnsi="Arial"/>
                <w:sz w:val="20"/>
                <w:szCs w:val="20"/>
                <w:color w:val="2C2C2C"/>
              </w:rPr>
              <w:t>Total liabilities and shareholders' equity</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2C2C2C"/>
                <w:w w:val="8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3,278,312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2,554,374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080"/>
          </w:cols>
          <w:pgMar w:left="320" w:top="127" w:right="49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22"/>
          <w:szCs w:val="22"/>
          <w:color w:val="242424"/>
        </w:rPr>
        <w:t>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C2C2C"/>
        </w:rPr>
        <w:t>Condensed Consolidated Statements of Cash Flows (Unaudited)</w:t>
      </w:r>
    </w:p>
    <w:p>
      <w:pPr>
        <w:spacing w:after="0"/>
        <w:rPr>
          <w:sz w:val="20"/>
          <w:szCs w:val="20"/>
          <w:color w:val="auto"/>
        </w:rPr>
      </w:pPr>
      <w:r>
        <w:rPr>
          <w:rFonts w:ascii="Arial" w:cs="Arial" w:eastAsia="Arial" w:hAnsi="Arial"/>
          <w:sz w:val="20"/>
          <w:szCs w:val="20"/>
          <w:color w:val="2C2C2C"/>
        </w:rPr>
        <w:t>(In thousands)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3420" w:type="dxa"/>
            <w:vAlign w:val="bottom"/>
            <w:gridSpan w:val="6"/>
            <w:vMerge w:val="restart"/>
          </w:tcPr>
          <w:p>
            <w:pPr>
              <w:ind w:left="40"/>
              <w:spacing w:after="0"/>
              <w:rPr>
                <w:sz w:val="20"/>
                <w:szCs w:val="20"/>
                <w:color w:val="auto"/>
              </w:rPr>
            </w:pPr>
            <w:r>
              <w:rPr>
                <w:rFonts w:ascii="Arial" w:cs="Arial" w:eastAsia="Arial" w:hAnsi="Arial"/>
                <w:sz w:val="20"/>
                <w:szCs w:val="20"/>
                <w:color w:val="2C2C2C"/>
              </w:rPr>
              <w:t>Three Months Ended September 30,</w:t>
            </w:r>
          </w:p>
        </w:tc>
        <w:tc>
          <w:tcPr>
            <w:tcW w:w="160" w:type="dxa"/>
            <w:vAlign w:val="bottom"/>
          </w:tcPr>
          <w:p>
            <w:pPr>
              <w:spacing w:after="0"/>
              <w:rPr>
                <w:sz w:val="19"/>
                <w:szCs w:val="19"/>
                <w:color w:val="auto"/>
              </w:rPr>
            </w:pPr>
          </w:p>
        </w:tc>
        <w:tc>
          <w:tcPr>
            <w:tcW w:w="2940" w:type="dxa"/>
            <w:vAlign w:val="bottom"/>
            <w:gridSpan w:val="4"/>
          </w:tcPr>
          <w:p>
            <w:pPr>
              <w:jc w:val="right"/>
              <w:ind w:right="61"/>
              <w:spacing w:after="0"/>
              <w:rPr>
                <w:sz w:val="20"/>
                <w:szCs w:val="20"/>
                <w:color w:val="auto"/>
              </w:rPr>
            </w:pPr>
            <w:r>
              <w:rPr>
                <w:rFonts w:ascii="Arial" w:cs="Arial" w:eastAsia="Arial" w:hAnsi="Arial"/>
                <w:sz w:val="20"/>
                <w:szCs w:val="20"/>
                <w:color w:val="2C2C2C"/>
                <w:w w:val="98"/>
              </w:rPr>
              <w:t>Nine Months Ended September</w:t>
            </w:r>
          </w:p>
        </w:tc>
        <w:tc>
          <w:tcPr>
            <w:tcW w:w="0" w:type="dxa"/>
            <w:vAlign w:val="bottom"/>
          </w:tcPr>
          <w:p>
            <w:pPr>
              <w:spacing w:after="0"/>
              <w:rPr>
                <w:sz w:val="1"/>
                <w:szCs w:val="1"/>
                <w:color w:val="auto"/>
              </w:rPr>
            </w:pPr>
          </w:p>
        </w:tc>
      </w:tr>
      <w:tr>
        <w:trPr>
          <w:trHeight w:val="251"/>
        </w:trPr>
        <w:tc>
          <w:tcPr>
            <w:tcW w:w="4600" w:type="dxa"/>
            <w:vAlign w:val="bottom"/>
          </w:tcPr>
          <w:p>
            <w:pPr>
              <w:spacing w:after="0"/>
              <w:rPr>
                <w:sz w:val="21"/>
                <w:szCs w:val="21"/>
                <w:color w:val="auto"/>
              </w:rPr>
            </w:pPr>
          </w:p>
        </w:tc>
        <w:tc>
          <w:tcPr>
            <w:tcW w:w="3420" w:type="dxa"/>
            <w:vAlign w:val="bottom"/>
            <w:gridSpan w:val="6"/>
            <w:vMerge w:val="continue"/>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jc w:val="right"/>
              <w:ind w:right="141"/>
              <w:spacing w:after="0"/>
              <w:rPr>
                <w:sz w:val="20"/>
                <w:szCs w:val="20"/>
                <w:color w:val="auto"/>
              </w:rPr>
            </w:pPr>
            <w:r>
              <w:rPr>
                <w:rFonts w:ascii="Arial" w:cs="Arial" w:eastAsia="Arial" w:hAnsi="Arial"/>
                <w:sz w:val="20"/>
                <w:szCs w:val="20"/>
                <w:color w:val="2C2C2C"/>
              </w:rPr>
              <w:t>30,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2C2C2C"/>
              </w:rPr>
              <w:t>2026</w:t>
            </w:r>
          </w:p>
        </w:tc>
        <w:tc>
          <w:tcPr>
            <w:tcW w:w="1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color w:val="2C2C2C"/>
              </w:rPr>
              <w:t>2025</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color w:val="2C2C2C"/>
              </w:rPr>
              <w:t>2026</w:t>
            </w:r>
          </w:p>
        </w:tc>
        <w:tc>
          <w:tcPr>
            <w:tcW w:w="14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color w:val="2C2C2C"/>
              </w:rPr>
              <w:t>2025</w:t>
            </w:r>
          </w:p>
        </w:tc>
        <w:tc>
          <w:tcPr>
            <w:tcW w:w="0" w:type="dxa"/>
            <w:vAlign w:val="bottom"/>
          </w:tcPr>
          <w:p>
            <w:pPr>
              <w:spacing w:after="0"/>
              <w:rPr>
                <w:sz w:val="1"/>
                <w:szCs w:val="1"/>
                <w:color w:val="auto"/>
              </w:rPr>
            </w:pPr>
          </w:p>
        </w:tc>
      </w:tr>
      <w:tr>
        <w:trPr>
          <w:trHeight w:val="397"/>
        </w:trPr>
        <w:tc>
          <w:tcPr>
            <w:tcW w:w="4600" w:type="dxa"/>
            <w:vAlign w:val="bottom"/>
          </w:tcPr>
          <w:p>
            <w:pPr>
              <w:spacing w:after="0"/>
              <w:rPr>
                <w:sz w:val="20"/>
                <w:szCs w:val="20"/>
                <w:color w:val="auto"/>
              </w:rPr>
            </w:pPr>
            <w:r>
              <w:rPr>
                <w:rFonts w:ascii="Arial" w:cs="Arial" w:eastAsia="Arial" w:hAnsi="Arial"/>
                <w:sz w:val="20"/>
                <w:szCs w:val="20"/>
                <w:color w:val="2C2C2C"/>
              </w:rPr>
              <w:t>Net income</w:t>
            </w:r>
          </w:p>
        </w:tc>
        <w:tc>
          <w:tcPr>
            <w:tcW w:w="360" w:type="dxa"/>
            <w:vAlign w:val="bottom"/>
          </w:tcPr>
          <w:p>
            <w:pPr>
              <w:ind w:left="20"/>
              <w:spacing w:after="0"/>
              <w:rPr>
                <w:sz w:val="20"/>
                <w:szCs w:val="20"/>
                <w:color w:val="auto"/>
              </w:rPr>
            </w:pPr>
            <w:r>
              <w:rPr>
                <w:rFonts w:ascii="Arial" w:cs="Arial" w:eastAsia="Arial" w:hAnsi="Arial"/>
                <w:sz w:val="20"/>
                <w:szCs w:val="20"/>
                <w:color w:val="2C2C2C"/>
              </w:rPr>
              <w:t>$</w:t>
            </w:r>
          </w:p>
        </w:tc>
        <w:tc>
          <w:tcPr>
            <w:tcW w:w="1240" w:type="dxa"/>
            <w:vAlign w:val="bottom"/>
          </w:tcPr>
          <w:p>
            <w:pPr>
              <w:jc w:val="right"/>
              <w:spacing w:after="0"/>
              <w:rPr>
                <w:sz w:val="20"/>
                <w:szCs w:val="20"/>
                <w:color w:val="auto"/>
              </w:rPr>
            </w:pPr>
            <w:r>
              <w:rPr>
                <w:rFonts w:ascii="Arial" w:cs="Arial" w:eastAsia="Arial" w:hAnsi="Arial"/>
                <w:sz w:val="20"/>
                <w:szCs w:val="20"/>
                <w:color w:val="2C2C2C"/>
              </w:rPr>
              <w:t>58,396</w:t>
            </w:r>
          </w:p>
        </w:tc>
        <w:tc>
          <w:tcPr>
            <w:tcW w:w="14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2C2C2C"/>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2C2C2C"/>
              </w:rPr>
              <w:t>69,613</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2C2C2C"/>
              </w:rPr>
              <w:t>215,859</w:t>
            </w:r>
          </w:p>
        </w:tc>
        <w:tc>
          <w:tcPr>
            <w:tcW w:w="140" w:type="dxa"/>
            <w:vAlign w:val="bottom"/>
          </w:tcPr>
          <w:p>
            <w:pPr>
              <w:spacing w:after="0"/>
              <w:rPr>
                <w:sz w:val="24"/>
                <w:szCs w:val="24"/>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2C2C2C"/>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2C2C2C"/>
              </w:rPr>
              <w:t>191,991</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Depreciation and amortization</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23,009</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2C2C2C"/>
              </w:rPr>
              <w:t>18,585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C2C2C"/>
              </w:rPr>
              <w:t>60,683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52,935</w:t>
            </w:r>
          </w:p>
        </w:tc>
        <w:tc>
          <w:tcPr>
            <w:tcW w:w="0" w:type="dxa"/>
            <w:vAlign w:val="bottom"/>
          </w:tcPr>
          <w:p>
            <w:pPr>
              <w:spacing w:after="0"/>
              <w:rPr>
                <w:sz w:val="1"/>
                <w:szCs w:val="1"/>
                <w:color w:val="auto"/>
              </w:rPr>
            </w:pPr>
          </w:p>
        </w:tc>
      </w:tr>
      <w:tr>
        <w:trPr>
          <w:trHeight w:val="272"/>
        </w:trPr>
        <w:tc>
          <w:tcPr>
            <w:tcW w:w="4600" w:type="dxa"/>
            <w:vAlign w:val="bottom"/>
          </w:tcPr>
          <w:p>
            <w:pPr>
              <w:spacing w:after="0"/>
              <w:rPr>
                <w:sz w:val="20"/>
                <w:szCs w:val="20"/>
                <w:color w:val="auto"/>
              </w:rPr>
            </w:pPr>
            <w:r>
              <w:rPr>
                <w:rFonts w:ascii="Arial" w:cs="Arial" w:eastAsia="Arial" w:hAnsi="Arial"/>
                <w:sz w:val="20"/>
                <w:szCs w:val="20"/>
                <w:color w:val="2C2C2C"/>
              </w:rPr>
              <w:t>Change in working capital and other operating</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907</w:t>
            </w:r>
          </w:p>
        </w:tc>
        <w:tc>
          <w:tcPr>
            <w:tcW w:w="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24,264</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(23,167)</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(3,413)</w:t>
            </w:r>
          </w:p>
        </w:tc>
        <w:tc>
          <w:tcPr>
            <w:tcW w:w="0" w:type="dxa"/>
            <w:vAlign w:val="bottom"/>
          </w:tcPr>
          <w:p>
            <w:pPr>
              <w:spacing w:after="0"/>
              <w:rPr>
                <w:sz w:val="1"/>
                <w:szCs w:val="1"/>
                <w:color w:val="auto"/>
              </w:rPr>
            </w:pPr>
          </w:p>
        </w:tc>
      </w:tr>
      <w:tr>
        <w:trPr>
          <w:trHeight w:val="358"/>
        </w:trPr>
        <w:tc>
          <w:tcPr>
            <w:tcW w:w="4600" w:type="dxa"/>
            <w:vAlign w:val="bottom"/>
          </w:tcPr>
          <w:p>
            <w:pPr>
              <w:ind w:left="220"/>
              <w:spacing w:after="0"/>
              <w:rPr>
                <w:sz w:val="20"/>
                <w:szCs w:val="20"/>
                <w:color w:val="auto"/>
              </w:rPr>
            </w:pPr>
            <w:r>
              <w:rPr>
                <w:rFonts w:ascii="Arial" w:cs="Arial" w:eastAsia="Arial" w:hAnsi="Arial"/>
                <w:sz w:val="20"/>
                <w:szCs w:val="20"/>
                <w:color w:val="2C2C2C"/>
              </w:rPr>
              <w:t>Cash flow from operating activities</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82,312</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112,462</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253,375</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241,513</w:t>
            </w:r>
          </w:p>
        </w:tc>
        <w:tc>
          <w:tcPr>
            <w:tcW w:w="0" w:type="dxa"/>
            <w:vAlign w:val="bottom"/>
          </w:tcPr>
          <w:p>
            <w:pPr>
              <w:spacing w:after="0"/>
              <w:rPr>
                <w:sz w:val="1"/>
                <w:szCs w:val="1"/>
                <w:color w:val="auto"/>
              </w:rPr>
            </w:pPr>
          </w:p>
        </w:tc>
      </w:tr>
      <w:tr>
        <w:trPr>
          <w:trHeight w:val="397"/>
        </w:trPr>
        <w:tc>
          <w:tcPr>
            <w:tcW w:w="4600" w:type="dxa"/>
            <w:vAlign w:val="bottom"/>
          </w:tcPr>
          <w:p>
            <w:pPr>
              <w:spacing w:after="0"/>
              <w:rPr>
                <w:sz w:val="20"/>
                <w:szCs w:val="20"/>
                <w:color w:val="auto"/>
              </w:rPr>
            </w:pPr>
            <w:r>
              <w:rPr>
                <w:rFonts w:ascii="Arial" w:cs="Arial" w:eastAsia="Arial" w:hAnsi="Arial"/>
                <w:sz w:val="20"/>
                <w:szCs w:val="20"/>
                <w:color w:val="2C2C2C"/>
              </w:rPr>
              <w:t>Acquisitions, net of cash acquired</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(563,087)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20"/>
                <w:szCs w:val="20"/>
                <w:color w:val="2C2C2C"/>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C2C2C"/>
              </w:rPr>
              <w:t>(563,087)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(187,774)</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Capital expenditures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(14,128)</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2C2C2C"/>
              </w:rPr>
              <w:t>(11,986)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C2C2C"/>
              </w:rPr>
              <w:t>(37,388)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(52,104)</w:t>
            </w:r>
          </w:p>
        </w:tc>
        <w:tc>
          <w:tcPr>
            <w:tcW w:w="0" w:type="dxa"/>
            <w:vAlign w:val="bottom"/>
          </w:tcPr>
          <w:p>
            <w:pPr>
              <w:spacing w:after="0"/>
              <w:rPr>
                <w:sz w:val="1"/>
                <w:szCs w:val="1"/>
                <w:color w:val="auto"/>
              </w:rPr>
            </w:pPr>
          </w:p>
        </w:tc>
      </w:tr>
      <w:tr>
        <w:trPr>
          <w:trHeight w:val="272"/>
        </w:trPr>
        <w:tc>
          <w:tcPr>
            <w:tcW w:w="4600" w:type="dxa"/>
            <w:vAlign w:val="bottom"/>
          </w:tcPr>
          <w:p>
            <w:pPr>
              <w:spacing w:after="0"/>
              <w:rPr>
                <w:sz w:val="20"/>
                <w:szCs w:val="20"/>
                <w:color w:val="auto"/>
              </w:rPr>
            </w:pPr>
            <w:r>
              <w:rPr>
                <w:rFonts w:ascii="Arial" w:cs="Arial" w:eastAsia="Arial" w:hAnsi="Arial"/>
                <w:sz w:val="20"/>
                <w:szCs w:val="20"/>
                <w:color w:val="2C2C2C"/>
              </w:rPr>
              <w:t>Property disposals and other investing</w:t>
            </w:r>
          </w:p>
        </w:tc>
        <w:tc>
          <w:tcPr>
            <w:tcW w:w="36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20"/>
                <w:szCs w:val="20"/>
                <w:color w:val="2C2C2C"/>
              </w:rPr>
              <w:t>—</w:t>
            </w:r>
          </w:p>
        </w:tc>
        <w:tc>
          <w:tcPr>
            <w:tcW w:w="3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20"/>
                <w:szCs w:val="20"/>
                <w:color w:val="2C2C2C"/>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C2C2C"/>
              </w:rPr>
              <w:t>36</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19</w:t>
            </w:r>
          </w:p>
        </w:tc>
        <w:tc>
          <w:tcPr>
            <w:tcW w:w="0" w:type="dxa"/>
            <w:vAlign w:val="bottom"/>
          </w:tcPr>
          <w:p>
            <w:pPr>
              <w:spacing w:after="0"/>
              <w:rPr>
                <w:sz w:val="1"/>
                <w:szCs w:val="1"/>
                <w:color w:val="auto"/>
              </w:rPr>
            </w:pPr>
          </w:p>
        </w:tc>
      </w:tr>
      <w:tr>
        <w:trPr>
          <w:trHeight w:val="358"/>
        </w:trPr>
        <w:tc>
          <w:tcPr>
            <w:tcW w:w="4600" w:type="dxa"/>
            <w:vAlign w:val="bottom"/>
          </w:tcPr>
          <w:p>
            <w:pPr>
              <w:ind w:left="220"/>
              <w:spacing w:after="0"/>
              <w:rPr>
                <w:sz w:val="20"/>
                <w:szCs w:val="20"/>
                <w:color w:val="auto"/>
              </w:rPr>
            </w:pPr>
            <w:r>
              <w:rPr>
                <w:rFonts w:ascii="Arial" w:cs="Arial" w:eastAsia="Arial" w:hAnsi="Arial"/>
                <w:sz w:val="20"/>
                <w:szCs w:val="20"/>
                <w:color w:val="2C2C2C"/>
              </w:rPr>
              <w:t>Cash flow used in investing activities</w:t>
            </w: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2C2C2C"/>
              </w:rPr>
              <w:t>(577,215)</w:t>
            </w:r>
          </w:p>
        </w:tc>
        <w:tc>
          <w:tcPr>
            <w:tcW w:w="14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2C2C2C"/>
              </w:rPr>
              <w:t>(11,986)</w:t>
            </w: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2C2C2C"/>
              </w:rPr>
              <w:t>(600,439)</w:t>
            </w:r>
          </w:p>
        </w:tc>
        <w:tc>
          <w:tcPr>
            <w:tcW w:w="14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2C2C2C"/>
              </w:rPr>
              <w:t>(239,859)</w:t>
            </w:r>
          </w:p>
        </w:tc>
        <w:tc>
          <w:tcPr>
            <w:tcW w:w="0" w:type="dxa"/>
            <w:vAlign w:val="bottom"/>
          </w:tcPr>
          <w:p>
            <w:pPr>
              <w:spacing w:after="0"/>
              <w:rPr>
                <w:sz w:val="1"/>
                <w:szCs w:val="1"/>
                <w:color w:val="auto"/>
              </w:rPr>
            </w:pPr>
          </w:p>
        </w:tc>
      </w:tr>
      <w:tr>
        <w:trPr>
          <w:trHeight w:val="397"/>
        </w:trPr>
        <w:tc>
          <w:tcPr>
            <w:tcW w:w="4600" w:type="dxa"/>
            <w:vAlign w:val="bottom"/>
          </w:tcPr>
          <w:p>
            <w:pPr>
              <w:spacing w:after="0"/>
              <w:rPr>
                <w:sz w:val="20"/>
                <w:szCs w:val="20"/>
                <w:color w:val="auto"/>
              </w:rPr>
            </w:pPr>
            <w:r>
              <w:rPr>
                <w:rFonts w:ascii="Arial" w:cs="Arial" w:eastAsia="Arial" w:hAnsi="Arial"/>
                <w:sz w:val="20"/>
                <w:szCs w:val="20"/>
                <w:color w:val="2C2C2C"/>
              </w:rPr>
              <w:t>Change in debt</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521,698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2C2C2C"/>
              </w:rPr>
              <w:t>(49,892)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C2C2C"/>
              </w:rPr>
              <w:t>542,458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115,328</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20"/>
                <w:szCs w:val="20"/>
                <w:color w:val="2C2C2C"/>
              </w:rPr>
              <w:t>Cash dividends paid</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(20,834)</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2C2C2C"/>
              </w:rPr>
              <w:t>(20,757)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C2C2C"/>
              </w:rPr>
              <w:t>(62,248)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C2C2C"/>
              </w:rPr>
              <w:t>(61,638)</w:t>
            </w:r>
          </w:p>
        </w:tc>
        <w:tc>
          <w:tcPr>
            <w:tcW w:w="0" w:type="dxa"/>
            <w:vAlign w:val="bottom"/>
          </w:tcPr>
          <w:p>
            <w:pPr>
              <w:spacing w:after="0"/>
              <w:rPr>
                <w:sz w:val="1"/>
                <w:szCs w:val="1"/>
                <w:color w:val="auto"/>
              </w:rPr>
            </w:pPr>
          </w:p>
        </w:tc>
      </w:tr>
      <w:tr>
        <w:trPr>
          <w:trHeight w:val="211"/>
        </w:trPr>
        <w:tc>
          <w:tcPr>
            <w:tcW w:w="4600" w:type="dxa"/>
            <w:vAlign w:val="bottom"/>
          </w:tcPr>
          <w:p>
            <w:pPr>
              <w:spacing w:after="0" w:line="211" w:lineRule="exact"/>
              <w:rPr>
                <w:sz w:val="20"/>
                <w:szCs w:val="20"/>
                <w:color w:val="auto"/>
              </w:rPr>
            </w:pPr>
            <w:r>
              <w:rPr>
                <w:rFonts w:ascii="Arial" w:cs="Arial" w:eastAsia="Arial" w:hAnsi="Arial"/>
                <w:sz w:val="20"/>
                <w:szCs w:val="20"/>
                <w:color w:val="2C2C2C"/>
              </w:rPr>
              <w:t>Company stock purchases under repurchase</w:t>
            </w:r>
          </w:p>
        </w:tc>
        <w:tc>
          <w:tcPr>
            <w:tcW w:w="36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20"/>
                <w:szCs w:val="20"/>
                <w:color w:val="2C2C2C"/>
              </w:rPr>
              <w:t>(12,683)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2C2C2C"/>
              </w:rPr>
              <w:t>—</w:t>
            </w:r>
          </w:p>
        </w:tc>
        <w:tc>
          <w:tcPr>
            <w:tcW w:w="1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2C2C2C"/>
              </w:rPr>
              <w:t>(88,809)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2C2C2C"/>
              </w:rPr>
              <w:t>(39,995)</w:t>
            </w:r>
          </w:p>
        </w:tc>
        <w:tc>
          <w:tcPr>
            <w:tcW w:w="0" w:type="dxa"/>
            <w:vAlign w:val="bottom"/>
          </w:tcPr>
          <w:p>
            <w:pPr>
              <w:spacing w:after="0"/>
              <w:rPr>
                <w:sz w:val="1"/>
                <w:szCs w:val="1"/>
                <w:color w:val="auto"/>
              </w:rPr>
            </w:pPr>
          </w:p>
        </w:tc>
      </w:tr>
      <w:tr>
        <w:trPr>
          <w:trHeight w:val="153"/>
        </w:trPr>
        <w:tc>
          <w:tcPr>
            <w:tcW w:w="4600" w:type="dxa"/>
            <w:vAlign w:val="bottom"/>
            <w:vMerge w:val="restart"/>
          </w:tcPr>
          <w:p>
            <w:pPr>
              <w:spacing w:after="0"/>
              <w:rPr>
                <w:sz w:val="20"/>
                <w:szCs w:val="20"/>
                <w:color w:val="auto"/>
              </w:rPr>
            </w:pPr>
            <w:r>
              <w:rPr>
                <w:rFonts w:ascii="Arial" w:cs="Arial" w:eastAsia="Arial" w:hAnsi="Arial"/>
                <w:sz w:val="20"/>
                <w:szCs w:val="20"/>
                <w:color w:val="2C2C2C"/>
              </w:rPr>
              <w:t>program</w:t>
            </w: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6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600" w:type="dxa"/>
            <w:vAlign w:val="bottom"/>
          </w:tcPr>
          <w:p>
            <w:pPr>
              <w:spacing w:after="0"/>
              <w:rPr>
                <w:sz w:val="20"/>
                <w:szCs w:val="20"/>
                <w:color w:val="auto"/>
              </w:rPr>
            </w:pPr>
            <w:r>
              <w:rPr>
                <w:rFonts w:ascii="Arial" w:cs="Arial" w:eastAsia="Arial" w:hAnsi="Arial"/>
                <w:sz w:val="20"/>
                <w:szCs w:val="20"/>
                <w:color w:val="2C2C2C"/>
              </w:rPr>
              <w:t>Other financing</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(224)</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(1,156)</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(9,392)</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(11,521)</w:t>
            </w:r>
          </w:p>
        </w:tc>
        <w:tc>
          <w:tcPr>
            <w:tcW w:w="0" w:type="dxa"/>
            <w:vAlign w:val="bottom"/>
          </w:tcPr>
          <w:p>
            <w:pPr>
              <w:spacing w:after="0"/>
              <w:rPr>
                <w:sz w:val="1"/>
                <w:szCs w:val="1"/>
                <w:color w:val="auto"/>
              </w:rPr>
            </w:pPr>
          </w:p>
        </w:tc>
      </w:tr>
      <w:tr>
        <w:trPr>
          <w:trHeight w:val="356"/>
        </w:trPr>
        <w:tc>
          <w:tcPr>
            <w:tcW w:w="4600" w:type="dxa"/>
            <w:vAlign w:val="bottom"/>
          </w:tcPr>
          <w:p>
            <w:pPr>
              <w:ind w:left="220"/>
              <w:spacing w:after="0"/>
              <w:rPr>
                <w:sz w:val="20"/>
                <w:szCs w:val="20"/>
                <w:color w:val="auto"/>
              </w:rPr>
            </w:pPr>
            <w:r>
              <w:rPr>
                <w:rFonts w:ascii="Arial" w:cs="Arial" w:eastAsia="Arial" w:hAnsi="Arial"/>
                <w:sz w:val="20"/>
                <w:szCs w:val="20"/>
                <w:color w:val="2C2C2C"/>
              </w:rPr>
              <w:t>Cash flow (used in) from financing activities</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487,957</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(71,805)</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382,009</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2,174</w:t>
            </w:r>
          </w:p>
        </w:tc>
        <w:tc>
          <w:tcPr>
            <w:tcW w:w="0" w:type="dxa"/>
            <w:vAlign w:val="bottom"/>
          </w:tcPr>
          <w:p>
            <w:pPr>
              <w:spacing w:after="0"/>
              <w:rPr>
                <w:sz w:val="1"/>
                <w:szCs w:val="1"/>
                <w:color w:val="auto"/>
              </w:rPr>
            </w:pPr>
          </w:p>
        </w:tc>
      </w:tr>
      <w:tr>
        <w:trPr>
          <w:trHeight w:val="340"/>
        </w:trPr>
        <w:tc>
          <w:tcPr>
            <w:tcW w:w="4600" w:type="dxa"/>
            <w:vAlign w:val="bottom"/>
          </w:tcPr>
          <w:p>
            <w:pPr>
              <w:spacing w:after="0"/>
              <w:rPr>
                <w:sz w:val="20"/>
                <w:szCs w:val="20"/>
                <w:color w:val="auto"/>
              </w:rPr>
            </w:pPr>
            <w:r>
              <w:rPr>
                <w:rFonts w:ascii="Arial" w:cs="Arial" w:eastAsia="Arial" w:hAnsi="Arial"/>
                <w:sz w:val="20"/>
                <w:szCs w:val="20"/>
                <w:color w:val="2C2C2C"/>
              </w:rPr>
              <w:t>Effect of exchange rate changes on cash, cash</w:t>
            </w:r>
          </w:p>
        </w:tc>
        <w:tc>
          <w:tcPr>
            <w:tcW w:w="36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20"/>
                <w:szCs w:val="20"/>
                <w:color w:val="2C2C2C"/>
              </w:rPr>
              <w:t>(5,900)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2C2C2C"/>
              </w:rPr>
              <w:t>(5,690)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2C2C2C"/>
              </w:rPr>
              <w:t>(12,477)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2C2C2C"/>
              </w:rPr>
              <w:t>2,002</w:t>
            </w:r>
          </w:p>
        </w:tc>
        <w:tc>
          <w:tcPr>
            <w:tcW w:w="0" w:type="dxa"/>
            <w:vAlign w:val="bottom"/>
          </w:tcPr>
          <w:p>
            <w:pPr>
              <w:spacing w:after="0"/>
              <w:rPr>
                <w:sz w:val="1"/>
                <w:szCs w:val="1"/>
                <w:color w:val="auto"/>
              </w:rPr>
            </w:pPr>
          </w:p>
        </w:tc>
      </w:tr>
      <w:tr>
        <w:trPr>
          <w:trHeight w:val="251"/>
        </w:trPr>
        <w:tc>
          <w:tcPr>
            <w:tcW w:w="4600" w:type="dxa"/>
            <w:vAlign w:val="bottom"/>
          </w:tcPr>
          <w:p>
            <w:pPr>
              <w:spacing w:after="0"/>
              <w:rPr>
                <w:sz w:val="20"/>
                <w:szCs w:val="20"/>
                <w:color w:val="auto"/>
              </w:rPr>
            </w:pPr>
            <w:r>
              <w:rPr>
                <w:rFonts w:ascii="Arial" w:cs="Arial" w:eastAsia="Arial" w:hAnsi="Arial"/>
                <w:sz w:val="20"/>
                <w:szCs w:val="20"/>
                <w:color w:val="2C2C2C"/>
              </w:rPr>
              <w:t>equivalents and restricted cash</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600" w:type="dxa"/>
            <w:vAlign w:val="bottom"/>
          </w:tcPr>
          <w:p>
            <w:pPr>
              <w:spacing w:after="0"/>
              <w:rPr>
                <w:sz w:val="20"/>
                <w:szCs w:val="20"/>
                <w:color w:val="auto"/>
              </w:rPr>
            </w:pPr>
            <w:r>
              <w:rPr>
                <w:rFonts w:ascii="Arial" w:cs="Arial" w:eastAsia="Arial" w:hAnsi="Arial"/>
                <w:sz w:val="20"/>
                <w:szCs w:val="20"/>
                <w:color w:val="2C2C2C"/>
              </w:rPr>
              <w:t>Change in cash, cash equivalents and restricted</w:t>
            </w:r>
          </w:p>
        </w:tc>
        <w:tc>
          <w:tcPr>
            <w:tcW w:w="360" w:type="dxa"/>
            <w:vAlign w:val="bottom"/>
            <w:vMerge w:val="restart"/>
          </w:tcPr>
          <w:p>
            <w:pPr>
              <w:ind w:left="20"/>
              <w:spacing w:after="0"/>
              <w:rPr>
                <w:sz w:val="20"/>
                <w:szCs w:val="20"/>
                <w:color w:val="auto"/>
              </w:rPr>
            </w:pPr>
            <w:r>
              <w:rPr>
                <w:rFonts w:ascii="Arial" w:cs="Arial" w:eastAsia="Arial" w:hAnsi="Arial"/>
                <w:sz w:val="20"/>
                <w:szCs w:val="20"/>
                <w:color w:val="2C2C2C"/>
              </w:rPr>
              <w:t>$</w:t>
            </w:r>
          </w:p>
        </w:tc>
        <w:tc>
          <w:tcPr>
            <w:tcW w:w="1240" w:type="dxa"/>
            <w:vAlign w:val="bottom"/>
            <w:vMerge w:val="restart"/>
          </w:tcPr>
          <w:p>
            <w:pPr>
              <w:jc w:val="right"/>
              <w:spacing w:after="0"/>
              <w:rPr>
                <w:sz w:val="20"/>
                <w:szCs w:val="20"/>
                <w:color w:val="auto"/>
              </w:rPr>
            </w:pPr>
            <w:r>
              <w:rPr>
                <w:rFonts w:ascii="Arial" w:cs="Arial" w:eastAsia="Arial" w:hAnsi="Arial"/>
                <w:sz w:val="20"/>
                <w:szCs w:val="20"/>
                <w:color w:val="2C2C2C"/>
              </w:rPr>
              <w:t>(12,846)</w:t>
            </w:r>
          </w:p>
        </w:tc>
        <w:tc>
          <w:tcPr>
            <w:tcW w:w="140" w:type="dxa"/>
            <w:vAlign w:val="bottom"/>
          </w:tcPr>
          <w:p>
            <w:pPr>
              <w:spacing w:after="0"/>
              <w:rPr>
                <w:sz w:val="24"/>
                <w:szCs w:val="24"/>
                <w:color w:val="auto"/>
              </w:rPr>
            </w:pPr>
          </w:p>
        </w:tc>
        <w:tc>
          <w:tcPr>
            <w:tcW w:w="340" w:type="dxa"/>
            <w:vAlign w:val="bottom"/>
            <w:vMerge w:val="restart"/>
          </w:tcPr>
          <w:p>
            <w:pPr>
              <w:jc w:val="right"/>
              <w:ind w:right="121"/>
              <w:spacing w:after="0"/>
              <w:rPr>
                <w:sz w:val="20"/>
                <w:szCs w:val="20"/>
                <w:color w:val="auto"/>
              </w:rPr>
            </w:pPr>
            <w:r>
              <w:rPr>
                <w:rFonts w:ascii="Arial" w:cs="Arial" w:eastAsia="Arial" w:hAnsi="Arial"/>
                <w:sz w:val="20"/>
                <w:szCs w:val="20"/>
                <w:color w:val="2C2C2C"/>
                <w:w w:val="89"/>
              </w:rPr>
              <w:t>$</w:t>
            </w:r>
          </w:p>
        </w:tc>
        <w:tc>
          <w:tcPr>
            <w:tcW w:w="1200" w:type="dxa"/>
            <w:vAlign w:val="bottom"/>
            <w:vMerge w:val="restart"/>
          </w:tcPr>
          <w:p>
            <w:pPr>
              <w:jc w:val="right"/>
              <w:spacing w:after="0"/>
              <w:rPr>
                <w:sz w:val="20"/>
                <w:szCs w:val="20"/>
                <w:color w:val="auto"/>
              </w:rPr>
            </w:pPr>
            <w:r>
              <w:rPr>
                <w:rFonts w:ascii="Arial" w:cs="Arial" w:eastAsia="Arial" w:hAnsi="Arial"/>
                <w:sz w:val="20"/>
                <w:szCs w:val="20"/>
                <w:color w:val="2C2C2C"/>
              </w:rPr>
              <w:t>22,981</w:t>
            </w:r>
          </w:p>
        </w:tc>
        <w:tc>
          <w:tcPr>
            <w:tcW w:w="14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2C2C2C"/>
                <w:w w:val="89"/>
              </w:rPr>
              <w:t>$</w:t>
            </w:r>
          </w:p>
        </w:tc>
        <w:tc>
          <w:tcPr>
            <w:tcW w:w="1320" w:type="dxa"/>
            <w:vAlign w:val="bottom"/>
            <w:vMerge w:val="restart"/>
          </w:tcPr>
          <w:p>
            <w:pPr>
              <w:jc w:val="right"/>
              <w:spacing w:after="0"/>
              <w:rPr>
                <w:sz w:val="20"/>
                <w:szCs w:val="20"/>
                <w:color w:val="auto"/>
              </w:rPr>
            </w:pPr>
            <w:r>
              <w:rPr>
                <w:rFonts w:ascii="Arial" w:cs="Arial" w:eastAsia="Arial" w:hAnsi="Arial"/>
                <w:sz w:val="20"/>
                <w:szCs w:val="20"/>
                <w:color w:val="2C2C2C"/>
              </w:rPr>
              <w:t>22,468</w:t>
            </w:r>
          </w:p>
        </w:tc>
        <w:tc>
          <w:tcPr>
            <w:tcW w:w="140" w:type="dxa"/>
            <w:vAlign w:val="bottom"/>
          </w:tcPr>
          <w:p>
            <w:pPr>
              <w:spacing w:after="0"/>
              <w:rPr>
                <w:sz w:val="24"/>
                <w:szCs w:val="24"/>
                <w:color w:val="auto"/>
              </w:rPr>
            </w:pPr>
          </w:p>
        </w:tc>
        <w:tc>
          <w:tcPr>
            <w:tcW w:w="320" w:type="dxa"/>
            <w:vAlign w:val="bottom"/>
            <w:vMerge w:val="restart"/>
          </w:tcPr>
          <w:p>
            <w:pPr>
              <w:jc w:val="right"/>
              <w:ind w:right="101"/>
              <w:spacing w:after="0"/>
              <w:rPr>
                <w:sz w:val="20"/>
                <w:szCs w:val="20"/>
                <w:color w:val="auto"/>
              </w:rPr>
            </w:pPr>
            <w:r>
              <w:rPr>
                <w:rFonts w:ascii="Arial" w:cs="Arial" w:eastAsia="Arial" w:hAnsi="Arial"/>
                <w:sz w:val="20"/>
                <w:szCs w:val="20"/>
                <w:color w:val="2C2C2C"/>
                <w:w w:val="89"/>
              </w:rPr>
              <w:t>$</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2C2C2C"/>
              </w:rPr>
              <w:t>5,830</w:t>
            </w:r>
          </w:p>
        </w:tc>
        <w:tc>
          <w:tcPr>
            <w:tcW w:w="0" w:type="dxa"/>
            <w:vAlign w:val="bottom"/>
          </w:tcPr>
          <w:p>
            <w:pPr>
              <w:spacing w:after="0"/>
              <w:rPr>
                <w:sz w:val="1"/>
                <w:szCs w:val="1"/>
                <w:color w:val="auto"/>
              </w:rPr>
            </w:pPr>
          </w:p>
        </w:tc>
      </w:tr>
      <w:tr>
        <w:trPr>
          <w:trHeight w:val="229"/>
        </w:trPr>
        <w:tc>
          <w:tcPr>
            <w:tcW w:w="4600" w:type="dxa"/>
            <w:vAlign w:val="bottom"/>
          </w:tcPr>
          <w:p>
            <w:pPr>
              <w:spacing w:after="0" w:line="224" w:lineRule="exact"/>
              <w:rPr>
                <w:sz w:val="20"/>
                <w:szCs w:val="20"/>
                <w:color w:val="auto"/>
              </w:rPr>
            </w:pPr>
            <w:r>
              <w:rPr>
                <w:rFonts w:ascii="Arial" w:cs="Arial" w:eastAsia="Arial" w:hAnsi="Arial"/>
                <w:sz w:val="20"/>
                <w:szCs w:val="20"/>
                <w:color w:val="2C2C2C"/>
              </w:rPr>
              <w:t>cash</w:t>
            </w:r>
          </w:p>
        </w:tc>
        <w:tc>
          <w:tcPr>
            <w:tcW w:w="36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140"/>
          </w:cols>
          <w:pgMar w:left="320" w:top="127" w:right="4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22"/>
          <w:szCs w:val="22"/>
          <w:color w:val="242424"/>
        </w:rPr>
        <w:t>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C2C2C"/>
        </w:rPr>
        <w:t>Sales by Product Group (Unaudited)</w:t>
      </w:r>
    </w:p>
    <w:p>
      <w:pPr>
        <w:spacing w:after="0"/>
        <w:rPr>
          <w:sz w:val="20"/>
          <w:szCs w:val="20"/>
          <w:color w:val="auto"/>
        </w:rPr>
      </w:pPr>
      <w:r>
        <w:rPr>
          <w:rFonts w:ascii="Arial" w:cs="Arial" w:eastAsia="Arial" w:hAnsi="Arial"/>
          <w:sz w:val="20"/>
          <w:szCs w:val="20"/>
          <w:color w:val="2C2C2C"/>
        </w:rPr>
        <w:t>(In thousands, except percentages)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4260" w:type="dxa"/>
            <w:vAlign w:val="bottom"/>
          </w:tcPr>
          <w:p>
            <w:pPr>
              <w:spacing w:after="0"/>
              <w:rPr>
                <w:sz w:val="20"/>
                <w:szCs w:val="20"/>
                <w:color w:val="auto"/>
              </w:rPr>
            </w:pPr>
            <w:r>
              <w:rPr>
                <w:rFonts w:ascii="Arial" w:cs="Arial" w:eastAsia="Arial" w:hAnsi="Arial"/>
                <w:sz w:val="20"/>
                <w:szCs w:val="20"/>
                <w:color w:val="2C2C2C"/>
              </w:rPr>
              <w:t>Three Months Ended September 30, 2026</w:t>
            </w:r>
          </w:p>
        </w:tc>
        <w:tc>
          <w:tcPr>
            <w:tcW w:w="2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Consolidated</w:t>
            </w:r>
          </w:p>
        </w:tc>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ind w:left="480"/>
              <w:spacing w:after="0"/>
              <w:rPr>
                <w:sz w:val="20"/>
                <w:szCs w:val="20"/>
                <w:color w:val="auto"/>
              </w:rPr>
            </w:pPr>
            <w:r>
              <w:rPr>
                <w:rFonts w:ascii="Arial" w:cs="Arial" w:eastAsia="Arial" w:hAnsi="Arial"/>
                <w:sz w:val="20"/>
                <w:szCs w:val="20"/>
                <w:color w:val="auto"/>
              </w:rPr>
              <w:t>Americas</w:t>
            </w:r>
          </w:p>
        </w:tc>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International</w:t>
            </w:r>
          </w:p>
        </w:tc>
      </w:tr>
      <w:tr>
        <w:trPr>
          <w:trHeight w:val="262"/>
        </w:trPr>
        <w:tc>
          <w:tcPr>
            <w:tcW w:w="4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r>
      <w:tr>
        <w:trPr>
          <w:trHeight w:val="272"/>
        </w:trPr>
        <w:tc>
          <w:tcPr>
            <w:tcW w:w="4260" w:type="dxa"/>
            <w:vAlign w:val="bottom"/>
          </w:tcPr>
          <w:p>
            <w:pPr>
              <w:ind w:left="340"/>
              <w:spacing w:after="0" w:line="272" w:lineRule="exact"/>
              <w:rPr>
                <w:sz w:val="20"/>
                <w:szCs w:val="20"/>
                <w:color w:val="auto"/>
              </w:rPr>
            </w:pPr>
            <w:r>
              <w:rPr>
                <w:rFonts w:ascii="Arial" w:cs="Arial" w:eastAsia="Arial" w:hAnsi="Arial"/>
                <w:sz w:val="20"/>
                <w:szCs w:val="20"/>
                <w:color w:val="auto"/>
              </w:rPr>
              <w:t>Detection</w:t>
            </w:r>
            <w:r>
              <w:rPr>
                <w:rFonts w:ascii="Arial" w:cs="Arial" w:eastAsia="Arial" w:hAnsi="Arial"/>
                <w:sz w:val="25"/>
                <w:szCs w:val="25"/>
                <w:color w:val="auto"/>
                <w:vertAlign w:val="superscript"/>
              </w:rPr>
              <w:t>(a)</w:t>
            </w:r>
          </w:p>
        </w:tc>
        <w:tc>
          <w:tcPr>
            <w:tcW w:w="240" w:type="dxa"/>
            <w:vAlign w:val="bottom"/>
          </w:tcPr>
          <w:p>
            <w:pPr>
              <w:jc w:val="right"/>
              <w:ind w:right="1"/>
              <w:spacing w:after="0"/>
              <w:rPr>
                <w:sz w:val="20"/>
                <w:szCs w:val="20"/>
                <w:color w:val="auto"/>
              </w:rPr>
            </w:pPr>
            <w:r>
              <w:rPr>
                <w:rFonts w:ascii="Arial" w:cs="Arial" w:eastAsia="Arial" w:hAnsi="Arial"/>
                <w:sz w:val="20"/>
                <w:szCs w:val="20"/>
                <w:color w:val="2C2C2C"/>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2C2C2C"/>
              </w:rPr>
              <w:t>233,935</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44%</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130,107</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38%</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103,828</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52%</w:t>
            </w:r>
          </w:p>
        </w:tc>
      </w:tr>
      <w:tr>
        <w:trPr>
          <w:trHeight w:val="270"/>
        </w:trPr>
        <w:tc>
          <w:tcPr>
            <w:tcW w:w="4260" w:type="dxa"/>
            <w:vAlign w:val="bottom"/>
          </w:tcPr>
          <w:p>
            <w:pPr>
              <w:ind w:left="340"/>
              <w:spacing w:after="0" w:line="270" w:lineRule="exact"/>
              <w:rPr>
                <w:sz w:val="20"/>
                <w:szCs w:val="20"/>
                <w:color w:val="auto"/>
              </w:rPr>
            </w:pPr>
            <w:r>
              <w:rPr>
                <w:rFonts w:ascii="Arial" w:cs="Arial" w:eastAsia="Arial" w:hAnsi="Arial"/>
                <w:sz w:val="20"/>
                <w:szCs w:val="20"/>
                <w:color w:val="auto"/>
              </w:rPr>
              <w:t>Fire Service</w:t>
            </w:r>
            <w:r>
              <w:rPr>
                <w:rFonts w:ascii="Arial" w:cs="Arial" w:eastAsia="Arial" w:hAnsi="Arial"/>
                <w:sz w:val="25"/>
                <w:szCs w:val="25"/>
                <w:color w:val="auto"/>
                <w:vertAlign w:val="superscript"/>
              </w:rPr>
              <w:t>(b)</w:t>
            </w:r>
          </w:p>
        </w:tc>
        <w:tc>
          <w:tcPr>
            <w:tcW w:w="24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2C2C2C"/>
              </w:rPr>
              <w:t>173,214</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32%</w:t>
            </w:r>
          </w:p>
        </w:tc>
        <w:tc>
          <w:tcPr>
            <w:tcW w:w="30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119,179</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35%</w:t>
            </w:r>
          </w:p>
        </w:tc>
        <w:tc>
          <w:tcPr>
            <w:tcW w:w="30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54,035</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27%</w:t>
            </w:r>
          </w:p>
        </w:tc>
      </w:tr>
      <w:tr>
        <w:trPr>
          <w:trHeight w:val="265"/>
        </w:trPr>
        <w:tc>
          <w:tcPr>
            <w:tcW w:w="4260" w:type="dxa"/>
            <w:vAlign w:val="bottom"/>
          </w:tcPr>
          <w:p>
            <w:pPr>
              <w:ind w:left="340"/>
              <w:spacing w:after="0" w:line="264" w:lineRule="exact"/>
              <w:rPr>
                <w:sz w:val="20"/>
                <w:szCs w:val="20"/>
                <w:color w:val="auto"/>
              </w:rPr>
            </w:pPr>
            <w:r>
              <w:rPr>
                <w:rFonts w:ascii="Arial" w:cs="Arial" w:eastAsia="Arial" w:hAnsi="Arial"/>
                <w:sz w:val="20"/>
                <w:szCs w:val="20"/>
                <w:color w:val="auto"/>
              </w:rPr>
              <w:t>Industrial PPE and Other</w:t>
            </w:r>
            <w:r>
              <w:rPr>
                <w:rFonts w:ascii="Arial" w:cs="Arial" w:eastAsia="Arial" w:hAnsi="Arial"/>
                <w:sz w:val="25"/>
                <w:szCs w:val="25"/>
                <w:color w:val="auto"/>
                <w:vertAlign w:val="superscript"/>
              </w:rPr>
              <w:t>(c)</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129,281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24%</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88,960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27%</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40,321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21%</w:t>
            </w:r>
          </w:p>
        </w:tc>
      </w:tr>
      <w:tr>
        <w:trPr>
          <w:trHeight w:val="262"/>
        </w:trPr>
        <w:tc>
          <w:tcPr>
            <w:tcW w:w="4260" w:type="dxa"/>
            <w:vAlign w:val="bottom"/>
          </w:tcPr>
          <w:p>
            <w:pPr>
              <w:ind w:left="340"/>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2C2C2C"/>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536,430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7"/>
              </w:rPr>
              <w:t>100%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338,246</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rPr>
              <w:t>100%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198,184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rPr>
              <w:t>100%</w:t>
            </w:r>
          </w:p>
        </w:tc>
      </w:tr>
      <w:tr>
        <w:trPr>
          <w:trHeight w:val="398"/>
        </w:trPr>
        <w:tc>
          <w:tcPr>
            <w:tcW w:w="4260" w:type="dxa"/>
            <w:vAlign w:val="bottom"/>
          </w:tcPr>
          <w:p>
            <w:pPr>
              <w:spacing w:after="0"/>
              <w:rPr>
                <w:sz w:val="20"/>
                <w:szCs w:val="20"/>
                <w:color w:val="auto"/>
              </w:rPr>
            </w:pPr>
            <w:r>
              <w:rPr>
                <w:rFonts w:ascii="Arial" w:cs="Arial" w:eastAsia="Arial" w:hAnsi="Arial"/>
                <w:sz w:val="20"/>
                <w:szCs w:val="20"/>
                <w:color w:val="auto"/>
              </w:rPr>
              <w:t>Three Months Ended September 30, 2025</w:t>
            </w: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Consolidated</w:t>
            </w: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480"/>
              <w:spacing w:after="0"/>
              <w:rPr>
                <w:sz w:val="20"/>
                <w:szCs w:val="20"/>
                <w:color w:val="auto"/>
              </w:rPr>
            </w:pPr>
            <w:r>
              <w:rPr>
                <w:rFonts w:ascii="Arial" w:cs="Arial" w:eastAsia="Arial" w:hAnsi="Arial"/>
                <w:sz w:val="20"/>
                <w:szCs w:val="20"/>
                <w:color w:val="auto"/>
              </w:rPr>
              <w:t>Americas</w:t>
            </w: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International</w:t>
            </w:r>
          </w:p>
        </w:tc>
      </w:tr>
      <w:tr>
        <w:trPr>
          <w:trHeight w:val="262"/>
        </w:trPr>
        <w:tc>
          <w:tcPr>
            <w:tcW w:w="4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r>
      <w:tr>
        <w:trPr>
          <w:trHeight w:val="272"/>
        </w:trPr>
        <w:tc>
          <w:tcPr>
            <w:tcW w:w="4260" w:type="dxa"/>
            <w:vAlign w:val="bottom"/>
          </w:tcPr>
          <w:p>
            <w:pPr>
              <w:ind w:left="340"/>
              <w:spacing w:after="0" w:line="272" w:lineRule="exact"/>
              <w:rPr>
                <w:sz w:val="20"/>
                <w:szCs w:val="20"/>
                <w:color w:val="auto"/>
              </w:rPr>
            </w:pPr>
            <w:r>
              <w:rPr>
                <w:rFonts w:ascii="Arial" w:cs="Arial" w:eastAsia="Arial" w:hAnsi="Arial"/>
                <w:sz w:val="20"/>
                <w:szCs w:val="20"/>
                <w:color w:val="auto"/>
              </w:rPr>
              <w:t>Detection</w:t>
            </w:r>
            <w:r>
              <w:rPr>
                <w:rFonts w:ascii="Arial" w:cs="Arial" w:eastAsia="Arial" w:hAnsi="Arial"/>
                <w:sz w:val="25"/>
                <w:szCs w:val="25"/>
                <w:color w:val="auto"/>
                <w:vertAlign w:val="superscript"/>
              </w:rPr>
              <w:t>(a)</w:t>
            </w:r>
          </w:p>
        </w:tc>
        <w:tc>
          <w:tcPr>
            <w:tcW w:w="240" w:type="dxa"/>
            <w:vAlign w:val="bottom"/>
          </w:tcPr>
          <w:p>
            <w:pPr>
              <w:jc w:val="right"/>
              <w:ind w:right="1"/>
              <w:spacing w:after="0"/>
              <w:rPr>
                <w:sz w:val="20"/>
                <w:szCs w:val="20"/>
                <w:color w:val="auto"/>
              </w:rPr>
            </w:pPr>
            <w:r>
              <w:rPr>
                <w:rFonts w:ascii="Arial" w:cs="Arial" w:eastAsia="Arial" w:hAnsi="Arial"/>
                <w:sz w:val="20"/>
                <w:szCs w:val="20"/>
                <w:color w:val="2C2C2C"/>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2C2C2C"/>
              </w:rPr>
              <w:t>191,188</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41%</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124,111</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40%</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67,077</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43%</w:t>
            </w:r>
          </w:p>
        </w:tc>
      </w:tr>
      <w:tr>
        <w:trPr>
          <w:trHeight w:val="270"/>
        </w:trPr>
        <w:tc>
          <w:tcPr>
            <w:tcW w:w="4260" w:type="dxa"/>
            <w:vAlign w:val="bottom"/>
          </w:tcPr>
          <w:p>
            <w:pPr>
              <w:ind w:left="340"/>
              <w:spacing w:after="0" w:line="270" w:lineRule="exact"/>
              <w:rPr>
                <w:sz w:val="20"/>
                <w:szCs w:val="20"/>
                <w:color w:val="auto"/>
              </w:rPr>
            </w:pPr>
            <w:r>
              <w:rPr>
                <w:rFonts w:ascii="Arial" w:cs="Arial" w:eastAsia="Arial" w:hAnsi="Arial"/>
                <w:sz w:val="20"/>
                <w:szCs w:val="20"/>
                <w:color w:val="auto"/>
              </w:rPr>
              <w:t>Fire Service</w:t>
            </w:r>
            <w:r>
              <w:rPr>
                <w:rFonts w:ascii="Arial" w:cs="Arial" w:eastAsia="Arial" w:hAnsi="Arial"/>
                <w:sz w:val="25"/>
                <w:szCs w:val="25"/>
                <w:color w:val="auto"/>
                <w:vertAlign w:val="superscript"/>
              </w:rPr>
              <w:t>(b)</w:t>
            </w:r>
          </w:p>
        </w:tc>
        <w:tc>
          <w:tcPr>
            <w:tcW w:w="24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2C2C2C"/>
              </w:rPr>
              <w:t>158,654</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34%</w:t>
            </w:r>
          </w:p>
        </w:tc>
        <w:tc>
          <w:tcPr>
            <w:tcW w:w="30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109,497</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35%</w:t>
            </w:r>
          </w:p>
        </w:tc>
        <w:tc>
          <w:tcPr>
            <w:tcW w:w="30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49,157</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32%</w:t>
            </w:r>
          </w:p>
        </w:tc>
      </w:tr>
      <w:tr>
        <w:trPr>
          <w:trHeight w:val="265"/>
        </w:trPr>
        <w:tc>
          <w:tcPr>
            <w:tcW w:w="4260" w:type="dxa"/>
            <w:vAlign w:val="bottom"/>
          </w:tcPr>
          <w:p>
            <w:pPr>
              <w:ind w:left="340"/>
              <w:spacing w:after="0" w:line="264" w:lineRule="exact"/>
              <w:rPr>
                <w:sz w:val="20"/>
                <w:szCs w:val="20"/>
                <w:color w:val="auto"/>
              </w:rPr>
            </w:pPr>
            <w:r>
              <w:rPr>
                <w:rFonts w:ascii="Arial" w:cs="Arial" w:eastAsia="Arial" w:hAnsi="Arial"/>
                <w:sz w:val="20"/>
                <w:szCs w:val="20"/>
                <w:color w:val="auto"/>
              </w:rPr>
              <w:t>Industrial PPE and Other</w:t>
            </w:r>
            <w:r>
              <w:rPr>
                <w:rFonts w:ascii="Arial" w:cs="Arial" w:eastAsia="Arial" w:hAnsi="Arial"/>
                <w:sz w:val="25"/>
                <w:szCs w:val="25"/>
                <w:color w:val="auto"/>
                <w:vertAlign w:val="superscript"/>
              </w:rPr>
              <w:t>(c)</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118,603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25%</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79,742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25%</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38,861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25%</w:t>
            </w:r>
          </w:p>
        </w:tc>
      </w:tr>
      <w:tr>
        <w:trPr>
          <w:trHeight w:val="260"/>
        </w:trPr>
        <w:tc>
          <w:tcPr>
            <w:tcW w:w="4260" w:type="dxa"/>
            <w:vAlign w:val="bottom"/>
          </w:tcPr>
          <w:p>
            <w:pPr>
              <w:ind w:left="340"/>
              <w:spacing w:after="0"/>
              <w:rPr>
                <w:sz w:val="20"/>
                <w:szCs w:val="20"/>
                <w:color w:val="auto"/>
              </w:rPr>
            </w:pPr>
            <w:r>
              <w:rPr>
                <w:rFonts w:ascii="Arial" w:cs="Arial" w:eastAsia="Arial" w:hAnsi="Arial"/>
                <w:sz w:val="20"/>
                <w:szCs w:val="20"/>
                <w:color w:val="auto"/>
              </w:rPr>
              <w:t>Total</w:t>
            </w:r>
          </w:p>
        </w:tc>
        <w:tc>
          <w:tcPr>
            <w:tcW w:w="240" w:type="dxa"/>
            <w:vAlign w:val="bottom"/>
          </w:tcPr>
          <w:p>
            <w:pPr>
              <w:jc w:val="right"/>
              <w:ind w:right="1"/>
              <w:spacing w:after="0"/>
              <w:rPr>
                <w:sz w:val="20"/>
                <w:szCs w:val="20"/>
                <w:color w:val="auto"/>
              </w:rPr>
            </w:pPr>
            <w:r>
              <w:rPr>
                <w:rFonts w:ascii="Arial" w:cs="Arial" w:eastAsia="Arial" w:hAnsi="Arial"/>
                <w:sz w:val="20"/>
                <w:szCs w:val="20"/>
                <w:color w:val="2C2C2C"/>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2C2C2C"/>
              </w:rPr>
              <w:t>468,445</w:t>
            </w:r>
          </w:p>
        </w:tc>
        <w:tc>
          <w:tcPr>
            <w:tcW w:w="960" w:type="dxa"/>
            <w:vAlign w:val="bottom"/>
          </w:tcPr>
          <w:p>
            <w:pPr>
              <w:jc w:val="center"/>
              <w:spacing w:after="0"/>
              <w:rPr>
                <w:sz w:val="20"/>
                <w:szCs w:val="20"/>
                <w:color w:val="auto"/>
              </w:rPr>
            </w:pPr>
            <w:r>
              <w:rPr>
                <w:rFonts w:ascii="Arial" w:cs="Arial" w:eastAsia="Arial" w:hAnsi="Arial"/>
                <w:sz w:val="20"/>
                <w:szCs w:val="20"/>
                <w:color w:val="2C2C2C"/>
                <w:w w:val="97"/>
              </w:rPr>
              <w:t>100%</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313,350</w:t>
            </w:r>
          </w:p>
        </w:tc>
        <w:tc>
          <w:tcPr>
            <w:tcW w:w="960" w:type="dxa"/>
            <w:vAlign w:val="bottom"/>
          </w:tcPr>
          <w:p>
            <w:pPr>
              <w:jc w:val="center"/>
              <w:spacing w:after="0"/>
              <w:rPr>
                <w:sz w:val="20"/>
                <w:szCs w:val="20"/>
                <w:color w:val="auto"/>
              </w:rPr>
            </w:pPr>
            <w:r>
              <w:rPr>
                <w:rFonts w:ascii="Arial" w:cs="Arial" w:eastAsia="Arial" w:hAnsi="Arial"/>
                <w:sz w:val="20"/>
                <w:szCs w:val="20"/>
                <w:color w:val="2C2C2C"/>
              </w:rPr>
              <w:t>100%</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155,095</w:t>
            </w:r>
          </w:p>
        </w:tc>
        <w:tc>
          <w:tcPr>
            <w:tcW w:w="960" w:type="dxa"/>
            <w:vAlign w:val="bottom"/>
          </w:tcPr>
          <w:p>
            <w:pPr>
              <w:jc w:val="center"/>
              <w:spacing w:after="0"/>
              <w:rPr>
                <w:sz w:val="20"/>
                <w:szCs w:val="20"/>
                <w:color w:val="auto"/>
              </w:rPr>
            </w:pPr>
            <w:r>
              <w:rPr>
                <w:rFonts w:ascii="Arial" w:cs="Arial" w:eastAsia="Arial" w:hAnsi="Arial"/>
                <w:sz w:val="20"/>
                <w:szCs w:val="20"/>
                <w:color w:val="2C2C2C"/>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1905</wp:posOffset>
            </wp:positionV>
            <wp:extent cx="435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ind w:left="360" w:right="460" w:hanging="10"/>
        <w:spacing w:after="0" w:line="191" w:lineRule="auto"/>
        <w:tabs>
          <w:tab w:leader="none" w:pos="53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Detection includes Fixed Gas and Flame Detection and Portable Gas Detection. Detection includes sales from the Autronica Fire and Security acquisition from July 9, 2026 onward (Americas and International).</w:t>
      </w:r>
    </w:p>
    <w:p>
      <w:pPr>
        <w:spacing w:after="0" w:line="1" w:lineRule="exact"/>
        <w:rPr>
          <w:rFonts w:ascii="Arial" w:cs="Arial" w:eastAsia="Arial" w:hAnsi="Arial"/>
          <w:sz w:val="21"/>
          <w:szCs w:val="21"/>
          <w:color w:val="auto"/>
          <w:vertAlign w:val="superscript"/>
        </w:rPr>
      </w:pPr>
    </w:p>
    <w:p>
      <w:pPr>
        <w:ind w:left="520" w:hanging="170"/>
        <w:spacing w:after="0" w:line="187" w:lineRule="auto"/>
        <w:tabs>
          <w:tab w:leader="none" w:pos="5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Fire Service includes Breathing Apparatus and Firefighter Helmets and Protective Apparel.</w:t>
      </w:r>
    </w:p>
    <w:p>
      <w:pPr>
        <w:ind w:left="500" w:hanging="150"/>
        <w:spacing w:after="0" w:line="218" w:lineRule="auto"/>
        <w:tabs>
          <w:tab w:leader="none" w:pos="50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Industrial PPE and Other includes Industrial Head Protection, Fall Protection and Non-Core.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4120" w:type="dxa"/>
            <w:vAlign w:val="bottom"/>
          </w:tcPr>
          <w:p>
            <w:pPr>
              <w:spacing w:after="0"/>
              <w:rPr>
                <w:sz w:val="20"/>
                <w:szCs w:val="20"/>
                <w:color w:val="auto"/>
              </w:rPr>
            </w:pPr>
            <w:r>
              <w:rPr>
                <w:rFonts w:ascii="Arial" w:cs="Arial" w:eastAsia="Arial" w:hAnsi="Arial"/>
                <w:sz w:val="20"/>
                <w:szCs w:val="20"/>
                <w:color w:val="2C2C2C"/>
              </w:rPr>
              <w:t>Nine Months Ended September 30, 2026</w:t>
            </w: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Consolidated</w:t>
            </w:r>
          </w:p>
        </w:tc>
        <w:tc>
          <w:tcPr>
            <w:tcW w:w="3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ind w:left="520"/>
              <w:spacing w:after="0"/>
              <w:rPr>
                <w:sz w:val="20"/>
                <w:szCs w:val="20"/>
                <w:color w:val="auto"/>
              </w:rPr>
            </w:pPr>
            <w:r>
              <w:rPr>
                <w:rFonts w:ascii="Arial" w:cs="Arial" w:eastAsia="Arial" w:hAnsi="Arial"/>
                <w:sz w:val="20"/>
                <w:szCs w:val="20"/>
                <w:color w:val="auto"/>
              </w:rPr>
              <w:t>Americas</w:t>
            </w:r>
          </w:p>
        </w:tc>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International</w:t>
            </w:r>
          </w:p>
        </w:tc>
      </w:tr>
      <w:tr>
        <w:trPr>
          <w:trHeight w:val="262"/>
        </w:trPr>
        <w:tc>
          <w:tcPr>
            <w:tcW w:w="4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2C2C2C"/>
              </w:rPr>
              <w:t>Dollars</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2C2C2C"/>
              </w:rPr>
              <w:t>Percent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r>
      <w:tr>
        <w:trPr>
          <w:trHeight w:val="272"/>
        </w:trPr>
        <w:tc>
          <w:tcPr>
            <w:tcW w:w="4120" w:type="dxa"/>
            <w:vAlign w:val="bottom"/>
          </w:tcPr>
          <w:p>
            <w:pPr>
              <w:ind w:left="340"/>
              <w:spacing w:after="0" w:line="272" w:lineRule="exact"/>
              <w:rPr>
                <w:sz w:val="20"/>
                <w:szCs w:val="20"/>
                <w:color w:val="auto"/>
              </w:rPr>
            </w:pPr>
            <w:r>
              <w:rPr>
                <w:rFonts w:ascii="Arial" w:cs="Arial" w:eastAsia="Arial" w:hAnsi="Arial"/>
                <w:sz w:val="20"/>
                <w:szCs w:val="20"/>
                <w:color w:val="auto"/>
              </w:rPr>
              <w:t>Detection</w:t>
            </w:r>
            <w:r>
              <w:rPr>
                <w:rFonts w:ascii="Arial" w:cs="Arial" w:eastAsia="Arial" w:hAnsi="Arial"/>
                <w:sz w:val="25"/>
                <w:szCs w:val="25"/>
                <w:color w:val="auto"/>
                <w:vertAlign w:val="superscript"/>
              </w:rPr>
              <w:t>(a)</w:t>
            </w:r>
          </w:p>
        </w:tc>
        <w:tc>
          <w:tcPr>
            <w:tcW w:w="220" w:type="dxa"/>
            <w:vAlign w:val="bottom"/>
          </w:tcPr>
          <w:p>
            <w:pPr>
              <w:jc w:val="right"/>
              <w:ind w:right="1"/>
              <w:spacing w:after="0"/>
              <w:rPr>
                <w:sz w:val="20"/>
                <w:szCs w:val="20"/>
                <w:color w:val="auto"/>
              </w:rPr>
            </w:pPr>
            <w:r>
              <w:rPr>
                <w:rFonts w:ascii="Arial" w:cs="Arial" w:eastAsia="Arial" w:hAnsi="Arial"/>
                <w:sz w:val="20"/>
                <w:szCs w:val="20"/>
                <w:color w:val="2C2C2C"/>
                <w:w w:val="89"/>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2C2C2C"/>
              </w:rPr>
              <w:t>616,154</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41%</w:t>
            </w:r>
          </w:p>
        </w:tc>
        <w:tc>
          <w:tcPr>
            <w:tcW w:w="320" w:type="dxa"/>
            <w:vAlign w:val="bottom"/>
          </w:tcPr>
          <w:p>
            <w:pPr>
              <w:jc w:val="right"/>
              <w:ind w:right="1"/>
              <w:spacing w:after="0"/>
              <w:rPr>
                <w:sz w:val="20"/>
                <w:szCs w:val="20"/>
                <w:color w:val="auto"/>
              </w:rPr>
            </w:pPr>
            <w:r>
              <w:rPr>
                <w:rFonts w:ascii="Arial" w:cs="Arial" w:eastAsia="Arial" w:hAnsi="Arial"/>
                <w:sz w:val="20"/>
                <w:szCs w:val="20"/>
                <w:color w:val="2C2C2C"/>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2C2C2C"/>
              </w:rPr>
              <w:t>392,710</w:t>
            </w:r>
          </w:p>
        </w:tc>
        <w:tc>
          <w:tcPr>
            <w:tcW w:w="920" w:type="dxa"/>
            <w:vAlign w:val="bottom"/>
          </w:tcPr>
          <w:p>
            <w:pPr>
              <w:jc w:val="center"/>
              <w:spacing w:after="0"/>
              <w:rPr>
                <w:sz w:val="20"/>
                <w:szCs w:val="20"/>
                <w:color w:val="auto"/>
              </w:rPr>
            </w:pPr>
            <w:r>
              <w:rPr>
                <w:rFonts w:ascii="Arial" w:cs="Arial" w:eastAsia="Arial" w:hAnsi="Arial"/>
                <w:sz w:val="20"/>
                <w:szCs w:val="20"/>
                <w:color w:val="2C2C2C"/>
                <w:w w:val="94"/>
              </w:rPr>
              <w:t>39%</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223,444</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45%</w:t>
            </w:r>
          </w:p>
        </w:tc>
      </w:tr>
      <w:tr>
        <w:trPr>
          <w:trHeight w:val="270"/>
        </w:trPr>
        <w:tc>
          <w:tcPr>
            <w:tcW w:w="4120" w:type="dxa"/>
            <w:vAlign w:val="bottom"/>
          </w:tcPr>
          <w:p>
            <w:pPr>
              <w:ind w:left="340"/>
              <w:spacing w:after="0" w:line="270" w:lineRule="exact"/>
              <w:rPr>
                <w:sz w:val="20"/>
                <w:szCs w:val="20"/>
                <w:color w:val="auto"/>
              </w:rPr>
            </w:pPr>
            <w:r>
              <w:rPr>
                <w:rFonts w:ascii="Arial" w:cs="Arial" w:eastAsia="Arial" w:hAnsi="Arial"/>
                <w:sz w:val="20"/>
                <w:szCs w:val="20"/>
                <w:color w:val="auto"/>
              </w:rPr>
              <w:t>Fire Service</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2C2C2C"/>
              </w:rPr>
              <w:t>494,378</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33%</w:t>
            </w:r>
          </w:p>
        </w:tc>
        <w:tc>
          <w:tcPr>
            <w:tcW w:w="32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2C2C2C"/>
              </w:rPr>
              <w:t>343,514</w:t>
            </w:r>
          </w:p>
        </w:tc>
        <w:tc>
          <w:tcPr>
            <w:tcW w:w="920" w:type="dxa"/>
            <w:vAlign w:val="bottom"/>
          </w:tcPr>
          <w:p>
            <w:pPr>
              <w:jc w:val="center"/>
              <w:spacing w:after="0"/>
              <w:rPr>
                <w:sz w:val="20"/>
                <w:szCs w:val="20"/>
                <w:color w:val="auto"/>
              </w:rPr>
            </w:pPr>
            <w:r>
              <w:rPr>
                <w:rFonts w:ascii="Arial" w:cs="Arial" w:eastAsia="Arial" w:hAnsi="Arial"/>
                <w:sz w:val="20"/>
                <w:szCs w:val="20"/>
                <w:color w:val="2C2C2C"/>
                <w:w w:val="94"/>
              </w:rPr>
              <w:t>34%</w:t>
            </w:r>
          </w:p>
        </w:tc>
        <w:tc>
          <w:tcPr>
            <w:tcW w:w="30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150,864</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30%</w:t>
            </w:r>
          </w:p>
        </w:tc>
      </w:tr>
      <w:tr>
        <w:trPr>
          <w:trHeight w:val="265"/>
        </w:trPr>
        <w:tc>
          <w:tcPr>
            <w:tcW w:w="4120" w:type="dxa"/>
            <w:vAlign w:val="bottom"/>
          </w:tcPr>
          <w:p>
            <w:pPr>
              <w:ind w:left="340"/>
              <w:spacing w:after="0" w:line="264" w:lineRule="exact"/>
              <w:rPr>
                <w:sz w:val="20"/>
                <w:szCs w:val="20"/>
                <w:color w:val="auto"/>
              </w:rPr>
            </w:pPr>
            <w:r>
              <w:rPr>
                <w:rFonts w:ascii="Arial" w:cs="Arial" w:eastAsia="Arial" w:hAnsi="Arial"/>
                <w:sz w:val="20"/>
                <w:szCs w:val="20"/>
                <w:color w:val="auto"/>
              </w:rPr>
              <w:t>Industrial PPE and Other</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392,857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26%</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2C2C2C"/>
              </w:rPr>
              <w:t>268,711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4"/>
              </w:rPr>
              <w:t>27%</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124,146</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25%</w:t>
            </w:r>
          </w:p>
        </w:tc>
      </w:tr>
      <w:tr>
        <w:trPr>
          <w:trHeight w:val="262"/>
        </w:trPr>
        <w:tc>
          <w:tcPr>
            <w:tcW w:w="4120" w:type="dxa"/>
            <w:vAlign w:val="bottom"/>
          </w:tcPr>
          <w:p>
            <w:pPr>
              <w:ind w:left="34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2C2C2C"/>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1,503,389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7"/>
              </w:rPr>
              <w:t>100%</w:t>
            </w: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2C2C2C"/>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2C2C2C"/>
              </w:rPr>
              <w:t>1,004,935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7"/>
              </w:rPr>
              <w:t>100%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498,454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7"/>
              </w:rPr>
              <w:t>100%</w:t>
            </w:r>
          </w:p>
        </w:tc>
      </w:tr>
      <w:tr>
        <w:trPr>
          <w:trHeight w:val="520"/>
        </w:trPr>
        <w:tc>
          <w:tcPr>
            <w:tcW w:w="4120" w:type="dxa"/>
            <w:vAlign w:val="bottom"/>
          </w:tcPr>
          <w:p>
            <w:pPr>
              <w:spacing w:after="0"/>
              <w:rPr>
                <w:sz w:val="20"/>
                <w:szCs w:val="20"/>
                <w:color w:val="auto"/>
              </w:rPr>
            </w:pPr>
            <w:r>
              <w:rPr>
                <w:rFonts w:ascii="Arial" w:cs="Arial" w:eastAsia="Arial" w:hAnsi="Arial"/>
                <w:sz w:val="20"/>
                <w:szCs w:val="20"/>
                <w:color w:val="auto"/>
              </w:rPr>
              <w:t>Nine Months Ended September 30, 2025</w:t>
            </w: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Consolidated</w:t>
            </w: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520"/>
              <w:spacing w:after="0"/>
              <w:rPr>
                <w:sz w:val="20"/>
                <w:szCs w:val="20"/>
                <w:color w:val="auto"/>
              </w:rPr>
            </w:pPr>
            <w:r>
              <w:rPr>
                <w:rFonts w:ascii="Arial" w:cs="Arial" w:eastAsia="Arial" w:hAnsi="Arial"/>
                <w:sz w:val="20"/>
                <w:szCs w:val="20"/>
                <w:color w:val="auto"/>
              </w:rPr>
              <w:t>Americas</w:t>
            </w: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340"/>
              <w:spacing w:after="0"/>
              <w:rPr>
                <w:sz w:val="20"/>
                <w:szCs w:val="20"/>
                <w:color w:val="auto"/>
              </w:rPr>
            </w:pPr>
            <w:r>
              <w:rPr>
                <w:rFonts w:ascii="Arial" w:cs="Arial" w:eastAsia="Arial" w:hAnsi="Arial"/>
                <w:sz w:val="20"/>
                <w:szCs w:val="20"/>
                <w:color w:val="auto"/>
              </w:rPr>
              <w:t>International</w:t>
            </w:r>
          </w:p>
        </w:tc>
      </w:tr>
      <w:tr>
        <w:trPr>
          <w:trHeight w:val="262"/>
        </w:trPr>
        <w:tc>
          <w:tcPr>
            <w:tcW w:w="4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2C2C2C"/>
              </w:rPr>
              <w:t>Dollars</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2C2C2C"/>
              </w:rPr>
              <w:t>Percent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2C2C2C"/>
              </w:rPr>
              <w:t>Dollars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2C2C2C"/>
              </w:rPr>
              <w:t>Percent</w:t>
            </w:r>
          </w:p>
        </w:tc>
      </w:tr>
      <w:tr>
        <w:trPr>
          <w:trHeight w:val="272"/>
        </w:trPr>
        <w:tc>
          <w:tcPr>
            <w:tcW w:w="4120" w:type="dxa"/>
            <w:vAlign w:val="bottom"/>
          </w:tcPr>
          <w:p>
            <w:pPr>
              <w:ind w:left="340"/>
              <w:spacing w:after="0" w:line="272" w:lineRule="exact"/>
              <w:rPr>
                <w:sz w:val="20"/>
                <w:szCs w:val="20"/>
                <w:color w:val="auto"/>
              </w:rPr>
            </w:pPr>
            <w:r>
              <w:rPr>
                <w:rFonts w:ascii="Arial" w:cs="Arial" w:eastAsia="Arial" w:hAnsi="Arial"/>
                <w:sz w:val="20"/>
                <w:szCs w:val="20"/>
                <w:color w:val="auto"/>
              </w:rPr>
              <w:t>Detection</w:t>
            </w:r>
            <w:r>
              <w:rPr>
                <w:rFonts w:ascii="Arial" w:cs="Arial" w:eastAsia="Arial" w:hAnsi="Arial"/>
                <w:sz w:val="25"/>
                <w:szCs w:val="25"/>
                <w:color w:val="auto"/>
                <w:vertAlign w:val="superscript"/>
              </w:rPr>
              <w:t>(a)</w:t>
            </w:r>
          </w:p>
        </w:tc>
        <w:tc>
          <w:tcPr>
            <w:tcW w:w="220" w:type="dxa"/>
            <w:vAlign w:val="bottom"/>
          </w:tcPr>
          <w:p>
            <w:pPr>
              <w:jc w:val="right"/>
              <w:ind w:right="1"/>
              <w:spacing w:after="0"/>
              <w:rPr>
                <w:sz w:val="20"/>
                <w:szCs w:val="20"/>
                <w:color w:val="auto"/>
              </w:rPr>
            </w:pPr>
            <w:r>
              <w:rPr>
                <w:rFonts w:ascii="Arial" w:cs="Arial" w:eastAsia="Arial" w:hAnsi="Arial"/>
                <w:sz w:val="20"/>
                <w:szCs w:val="20"/>
                <w:color w:val="2C2C2C"/>
                <w:w w:val="89"/>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2C2C2C"/>
              </w:rPr>
              <w:t>546,094</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40%</w:t>
            </w:r>
          </w:p>
        </w:tc>
        <w:tc>
          <w:tcPr>
            <w:tcW w:w="320" w:type="dxa"/>
            <w:vAlign w:val="bottom"/>
          </w:tcPr>
          <w:p>
            <w:pPr>
              <w:jc w:val="right"/>
              <w:ind w:right="1"/>
              <w:spacing w:after="0"/>
              <w:rPr>
                <w:sz w:val="20"/>
                <w:szCs w:val="20"/>
                <w:color w:val="auto"/>
              </w:rPr>
            </w:pPr>
            <w:r>
              <w:rPr>
                <w:rFonts w:ascii="Arial" w:cs="Arial" w:eastAsia="Arial" w:hAnsi="Arial"/>
                <w:sz w:val="20"/>
                <w:szCs w:val="20"/>
                <w:color w:val="2C2C2C"/>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2C2C2C"/>
              </w:rPr>
              <w:t>361,176</w:t>
            </w:r>
          </w:p>
        </w:tc>
        <w:tc>
          <w:tcPr>
            <w:tcW w:w="920" w:type="dxa"/>
            <w:vAlign w:val="bottom"/>
          </w:tcPr>
          <w:p>
            <w:pPr>
              <w:jc w:val="center"/>
              <w:spacing w:after="0"/>
              <w:rPr>
                <w:sz w:val="20"/>
                <w:szCs w:val="20"/>
                <w:color w:val="auto"/>
              </w:rPr>
            </w:pPr>
            <w:r>
              <w:rPr>
                <w:rFonts w:ascii="Arial" w:cs="Arial" w:eastAsia="Arial" w:hAnsi="Arial"/>
                <w:sz w:val="20"/>
                <w:szCs w:val="20"/>
                <w:color w:val="2C2C2C"/>
                <w:w w:val="94"/>
              </w:rPr>
              <w:t>39%</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184,918</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42%</w:t>
            </w:r>
          </w:p>
        </w:tc>
      </w:tr>
      <w:tr>
        <w:trPr>
          <w:trHeight w:val="270"/>
        </w:trPr>
        <w:tc>
          <w:tcPr>
            <w:tcW w:w="4120" w:type="dxa"/>
            <w:vAlign w:val="bottom"/>
          </w:tcPr>
          <w:p>
            <w:pPr>
              <w:ind w:left="340"/>
              <w:spacing w:after="0" w:line="270" w:lineRule="exact"/>
              <w:rPr>
                <w:sz w:val="20"/>
                <w:szCs w:val="20"/>
                <w:color w:val="auto"/>
              </w:rPr>
            </w:pPr>
            <w:r>
              <w:rPr>
                <w:rFonts w:ascii="Arial" w:cs="Arial" w:eastAsia="Arial" w:hAnsi="Arial"/>
                <w:sz w:val="20"/>
                <w:szCs w:val="20"/>
                <w:color w:val="auto"/>
              </w:rPr>
              <w:t>Fire Service</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2C2C2C"/>
              </w:rPr>
              <w:t>472,576</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35%</w:t>
            </w:r>
          </w:p>
        </w:tc>
        <w:tc>
          <w:tcPr>
            <w:tcW w:w="32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2C2C2C"/>
              </w:rPr>
              <w:t>326,220</w:t>
            </w:r>
          </w:p>
        </w:tc>
        <w:tc>
          <w:tcPr>
            <w:tcW w:w="920" w:type="dxa"/>
            <w:vAlign w:val="bottom"/>
          </w:tcPr>
          <w:p>
            <w:pPr>
              <w:jc w:val="center"/>
              <w:spacing w:after="0"/>
              <w:rPr>
                <w:sz w:val="20"/>
                <w:szCs w:val="20"/>
                <w:color w:val="auto"/>
              </w:rPr>
            </w:pPr>
            <w:r>
              <w:rPr>
                <w:rFonts w:ascii="Arial" w:cs="Arial" w:eastAsia="Arial" w:hAnsi="Arial"/>
                <w:sz w:val="20"/>
                <w:szCs w:val="20"/>
                <w:color w:val="2C2C2C"/>
                <w:w w:val="94"/>
              </w:rPr>
              <w:t>35%</w:t>
            </w:r>
          </w:p>
        </w:tc>
        <w:tc>
          <w:tcPr>
            <w:tcW w:w="30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146,356</w:t>
            </w:r>
          </w:p>
        </w:tc>
        <w:tc>
          <w:tcPr>
            <w:tcW w:w="960" w:type="dxa"/>
            <w:vAlign w:val="bottom"/>
          </w:tcPr>
          <w:p>
            <w:pPr>
              <w:jc w:val="center"/>
              <w:spacing w:after="0"/>
              <w:rPr>
                <w:sz w:val="20"/>
                <w:szCs w:val="20"/>
                <w:color w:val="auto"/>
              </w:rPr>
            </w:pPr>
            <w:r>
              <w:rPr>
                <w:rFonts w:ascii="Arial" w:cs="Arial" w:eastAsia="Arial" w:hAnsi="Arial"/>
                <w:sz w:val="20"/>
                <w:szCs w:val="20"/>
                <w:color w:val="2C2C2C"/>
                <w:w w:val="99"/>
              </w:rPr>
              <w:t>33%</w:t>
            </w:r>
          </w:p>
        </w:tc>
      </w:tr>
      <w:tr>
        <w:trPr>
          <w:trHeight w:val="265"/>
        </w:trPr>
        <w:tc>
          <w:tcPr>
            <w:tcW w:w="4120" w:type="dxa"/>
            <w:vAlign w:val="bottom"/>
          </w:tcPr>
          <w:p>
            <w:pPr>
              <w:ind w:left="340"/>
              <w:spacing w:after="0" w:line="264" w:lineRule="exact"/>
              <w:rPr>
                <w:sz w:val="20"/>
                <w:szCs w:val="20"/>
                <w:color w:val="auto"/>
              </w:rPr>
            </w:pPr>
            <w:r>
              <w:rPr>
                <w:rFonts w:ascii="Arial" w:cs="Arial" w:eastAsia="Arial" w:hAnsi="Arial"/>
                <w:sz w:val="20"/>
                <w:szCs w:val="20"/>
                <w:color w:val="auto"/>
              </w:rPr>
              <w:t>Industrial PPE and Other</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345,230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25%</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2C2C2C"/>
              </w:rPr>
              <w:t>239,253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4"/>
              </w:rPr>
              <w:t>26%</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105,977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2C2C2C"/>
                <w:w w:val="99"/>
              </w:rPr>
              <w:t>25%</w:t>
            </w:r>
          </w:p>
        </w:tc>
      </w:tr>
      <w:tr>
        <w:trPr>
          <w:trHeight w:val="260"/>
        </w:trPr>
        <w:tc>
          <w:tcPr>
            <w:tcW w:w="4120" w:type="dxa"/>
            <w:vAlign w:val="bottom"/>
          </w:tcPr>
          <w:p>
            <w:pPr>
              <w:ind w:left="340"/>
              <w:spacing w:after="0"/>
              <w:rPr>
                <w:sz w:val="20"/>
                <w:szCs w:val="20"/>
                <w:color w:val="auto"/>
              </w:rPr>
            </w:pPr>
            <w:r>
              <w:rPr>
                <w:rFonts w:ascii="Arial" w:cs="Arial" w:eastAsia="Arial" w:hAnsi="Arial"/>
                <w:sz w:val="20"/>
                <w:szCs w:val="20"/>
                <w:color w:val="auto"/>
              </w:rPr>
              <w:t>Total</w:t>
            </w:r>
          </w:p>
        </w:tc>
        <w:tc>
          <w:tcPr>
            <w:tcW w:w="220" w:type="dxa"/>
            <w:vAlign w:val="bottom"/>
          </w:tcPr>
          <w:p>
            <w:pPr>
              <w:jc w:val="right"/>
              <w:ind w:right="1"/>
              <w:spacing w:after="0"/>
              <w:rPr>
                <w:sz w:val="20"/>
                <w:szCs w:val="20"/>
                <w:color w:val="auto"/>
              </w:rPr>
            </w:pPr>
            <w:r>
              <w:rPr>
                <w:rFonts w:ascii="Arial" w:cs="Arial" w:eastAsia="Arial" w:hAnsi="Arial"/>
                <w:sz w:val="20"/>
                <w:szCs w:val="20"/>
                <w:color w:val="2C2C2C"/>
                <w:w w:val="89"/>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2C2C2C"/>
              </w:rPr>
              <w:t>1,363,900</w:t>
            </w:r>
          </w:p>
        </w:tc>
        <w:tc>
          <w:tcPr>
            <w:tcW w:w="960" w:type="dxa"/>
            <w:vAlign w:val="bottom"/>
          </w:tcPr>
          <w:p>
            <w:pPr>
              <w:jc w:val="center"/>
              <w:spacing w:after="0"/>
              <w:rPr>
                <w:sz w:val="20"/>
                <w:szCs w:val="20"/>
                <w:color w:val="auto"/>
              </w:rPr>
            </w:pPr>
            <w:r>
              <w:rPr>
                <w:rFonts w:ascii="Arial" w:cs="Arial" w:eastAsia="Arial" w:hAnsi="Arial"/>
                <w:sz w:val="20"/>
                <w:szCs w:val="20"/>
                <w:color w:val="2C2C2C"/>
                <w:w w:val="97"/>
              </w:rPr>
              <w:t>100%</w:t>
            </w:r>
          </w:p>
        </w:tc>
        <w:tc>
          <w:tcPr>
            <w:tcW w:w="320" w:type="dxa"/>
            <w:vAlign w:val="bottom"/>
          </w:tcPr>
          <w:p>
            <w:pPr>
              <w:jc w:val="right"/>
              <w:ind w:right="1"/>
              <w:spacing w:after="0"/>
              <w:rPr>
                <w:sz w:val="20"/>
                <w:szCs w:val="20"/>
                <w:color w:val="auto"/>
              </w:rPr>
            </w:pPr>
            <w:r>
              <w:rPr>
                <w:rFonts w:ascii="Arial" w:cs="Arial" w:eastAsia="Arial" w:hAnsi="Arial"/>
                <w:sz w:val="20"/>
                <w:szCs w:val="20"/>
                <w:color w:val="2C2C2C"/>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2C2C2C"/>
              </w:rPr>
              <w:t>926,649</w:t>
            </w:r>
          </w:p>
        </w:tc>
        <w:tc>
          <w:tcPr>
            <w:tcW w:w="920" w:type="dxa"/>
            <w:vAlign w:val="bottom"/>
          </w:tcPr>
          <w:p>
            <w:pPr>
              <w:jc w:val="center"/>
              <w:spacing w:after="0"/>
              <w:rPr>
                <w:sz w:val="20"/>
                <w:szCs w:val="20"/>
                <w:color w:val="auto"/>
              </w:rPr>
            </w:pPr>
            <w:r>
              <w:rPr>
                <w:rFonts w:ascii="Arial" w:cs="Arial" w:eastAsia="Arial" w:hAnsi="Arial"/>
                <w:sz w:val="20"/>
                <w:szCs w:val="20"/>
                <w:color w:val="2C2C2C"/>
                <w:w w:val="97"/>
              </w:rPr>
              <w:t>100%</w:t>
            </w:r>
          </w:p>
        </w:tc>
        <w:tc>
          <w:tcPr>
            <w:tcW w:w="300" w:type="dxa"/>
            <w:vAlign w:val="bottom"/>
          </w:tcPr>
          <w:p>
            <w:pPr>
              <w:jc w:val="right"/>
              <w:spacing w:after="0"/>
              <w:rPr>
                <w:sz w:val="20"/>
                <w:szCs w:val="20"/>
                <w:color w:val="auto"/>
              </w:rPr>
            </w:pPr>
            <w:r>
              <w:rPr>
                <w:rFonts w:ascii="Arial" w:cs="Arial" w:eastAsia="Arial" w:hAnsi="Arial"/>
                <w:sz w:val="20"/>
                <w:szCs w:val="20"/>
                <w:color w:val="2C2C2C"/>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2C2C2C"/>
              </w:rPr>
              <w:t>437,251</w:t>
            </w:r>
          </w:p>
        </w:tc>
        <w:tc>
          <w:tcPr>
            <w:tcW w:w="960" w:type="dxa"/>
            <w:vAlign w:val="bottom"/>
          </w:tcPr>
          <w:p>
            <w:pPr>
              <w:jc w:val="center"/>
              <w:spacing w:after="0"/>
              <w:rPr>
                <w:sz w:val="20"/>
                <w:szCs w:val="20"/>
                <w:color w:val="auto"/>
              </w:rPr>
            </w:pPr>
            <w:r>
              <w:rPr>
                <w:rFonts w:ascii="Arial" w:cs="Arial" w:eastAsia="Arial" w:hAnsi="Arial"/>
                <w:sz w:val="20"/>
                <w:szCs w:val="20"/>
                <w:color w:val="2C2C2C"/>
                <w:w w:val="97"/>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1905</wp:posOffset>
            </wp:positionV>
            <wp:extent cx="44316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ind w:left="360" w:right="400" w:hanging="10"/>
        <w:spacing w:after="0" w:line="197" w:lineRule="auto"/>
        <w:tabs>
          <w:tab w:leader="none" w:pos="53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Detection includes Fixed Gas and Flame Detection and Portable Gas Detection. Detection includes sales from the M&amp;C TechGroup acquisition from May 6, 2025, onward (Americas and International) and sales from the Autronica Fire and Security acquisition from July 9, 2026 onward (Americas and International).</w:t>
      </w:r>
    </w:p>
    <w:p>
      <w:pPr>
        <w:spacing w:after="0" w:line="1" w:lineRule="exact"/>
        <w:rPr>
          <w:rFonts w:ascii="Arial" w:cs="Arial" w:eastAsia="Arial" w:hAnsi="Arial"/>
          <w:sz w:val="21"/>
          <w:szCs w:val="21"/>
          <w:color w:val="auto"/>
          <w:vertAlign w:val="superscript"/>
        </w:rPr>
      </w:pPr>
    </w:p>
    <w:p>
      <w:pPr>
        <w:ind w:left="520" w:hanging="170"/>
        <w:spacing w:after="0" w:line="187" w:lineRule="auto"/>
        <w:tabs>
          <w:tab w:leader="none" w:pos="5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Fire Service includes Breathing Apparatus and Firefighter Helmets and Protective Apparel.</w:t>
      </w:r>
    </w:p>
    <w:p>
      <w:pPr>
        <w:ind w:left="500" w:hanging="150"/>
        <w:spacing w:after="0" w:line="218" w:lineRule="auto"/>
        <w:tabs>
          <w:tab w:leader="none" w:pos="50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Industrial PPE and Other includes Industrial Head Protection, Fall Protection and Non-Core.</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140"/>
          </w:cols>
          <w:pgMar w:left="320" w:top="127" w:right="439" w:bottom="1440" w:gutter="0" w:footer="0" w:header="0"/>
        </w:sectPr>
      </w:pPr>
    </w:p>
    <w:bookmarkStart w:id="11" w:name="page12"/>
    <w:bookmarkEnd w:id="11"/>
    <w:p>
      <w:pPr>
        <w:ind w:left="5560"/>
        <w:spacing w:after="0"/>
        <w:rPr>
          <w:sz w:val="20"/>
          <w:szCs w:val="20"/>
          <w:color w:val="auto"/>
        </w:rPr>
      </w:pPr>
      <w:r>
        <w:rPr>
          <w:rFonts w:ascii="Arial" w:cs="Arial" w:eastAsia="Arial" w:hAnsi="Arial"/>
          <w:sz w:val="22"/>
          <w:szCs w:val="22"/>
          <w:color w:val="242424"/>
        </w:rPr>
        <w:t>8</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C2C2C"/>
        </w:rPr>
        <w:t>Reconciliation of Non-GAAP Financial Measures</w:t>
      </w:r>
    </w:p>
    <w:p>
      <w:pPr>
        <w:spacing w:after="0"/>
        <w:rPr>
          <w:sz w:val="20"/>
          <w:szCs w:val="20"/>
          <w:color w:val="auto"/>
        </w:rPr>
      </w:pPr>
      <w:r>
        <w:rPr>
          <w:rFonts w:ascii="Arial" w:cs="Arial" w:eastAsia="Arial" w:hAnsi="Arial"/>
          <w:sz w:val="20"/>
          <w:szCs w:val="20"/>
          <w:color w:val="2C2C2C"/>
        </w:rPr>
        <w:t>Organic sales change (Unaudited)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80" w:type="dxa"/>
            <w:vAlign w:val="bottom"/>
          </w:tcPr>
          <w:p>
            <w:pPr>
              <w:spacing w:after="0"/>
              <w:rPr>
                <w:sz w:val="20"/>
                <w:szCs w:val="20"/>
                <w:color w:val="auto"/>
              </w:rPr>
            </w:pPr>
            <w:r>
              <w:rPr>
                <w:rFonts w:ascii="Arial" w:cs="Arial" w:eastAsia="Arial" w:hAnsi="Arial"/>
                <w:sz w:val="20"/>
                <w:szCs w:val="20"/>
                <w:color w:val="2C2C2C"/>
              </w:rPr>
              <w:t>Consolidated</w:t>
            </w: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7"/>
          </w:tcPr>
          <w:p>
            <w:pPr>
              <w:jc w:val="center"/>
              <w:ind w:right="941"/>
              <w:spacing w:after="0"/>
              <w:rPr>
                <w:sz w:val="20"/>
                <w:szCs w:val="20"/>
                <w:color w:val="auto"/>
              </w:rPr>
            </w:pPr>
            <w:r>
              <w:rPr>
                <w:rFonts w:ascii="Arial" w:cs="Arial" w:eastAsia="Arial" w:hAnsi="Arial"/>
                <w:sz w:val="20"/>
                <w:szCs w:val="20"/>
                <w:color w:val="2C2C2C"/>
                <w:w w:val="98"/>
              </w:rPr>
              <w:t>Three Months Ended September 30, 2026</w:t>
            </w: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20" w:type="dxa"/>
            <w:vAlign w:val="bottom"/>
            <w:vMerge w:val="restart"/>
          </w:tcPr>
          <w:p>
            <w:pPr>
              <w:ind w:left="200"/>
              <w:spacing w:after="0"/>
              <w:rPr>
                <w:sz w:val="20"/>
                <w:szCs w:val="20"/>
                <w:color w:val="auto"/>
              </w:rPr>
            </w:pPr>
            <w:r>
              <w:rPr>
                <w:rFonts w:ascii="Arial" w:cs="Arial" w:eastAsia="Arial" w:hAnsi="Arial"/>
                <w:sz w:val="20"/>
                <w:szCs w:val="20"/>
                <w:color w:val="2C2C2C"/>
                <w:w w:val="94"/>
              </w:rPr>
              <w:t>Detection</w:t>
            </w:r>
          </w:p>
        </w:tc>
        <w:tc>
          <w:tcPr>
            <w:tcW w:w="300" w:type="dxa"/>
            <w:vAlign w:val="bottom"/>
          </w:tcPr>
          <w:p>
            <w:pPr>
              <w:spacing w:after="0"/>
              <w:rPr>
                <w:sz w:val="20"/>
                <w:szCs w:val="20"/>
                <w:color w:val="auto"/>
              </w:rPr>
            </w:pPr>
            <w:r>
              <w:rPr>
                <w:rFonts w:ascii="Arial" w:cs="Arial" w:eastAsia="Arial" w:hAnsi="Arial"/>
                <w:sz w:val="13"/>
                <w:szCs w:val="13"/>
                <w:color w:val="2C2C2C"/>
              </w:rPr>
              <w:t>(a)</w:t>
            </w:r>
          </w:p>
        </w:tc>
        <w:tc>
          <w:tcPr>
            <w:tcW w:w="1200" w:type="dxa"/>
            <w:vAlign w:val="bottom"/>
            <w:vMerge w:val="restart"/>
          </w:tcPr>
          <w:p>
            <w:pPr>
              <w:ind w:left="140"/>
              <w:spacing w:after="0"/>
              <w:rPr>
                <w:sz w:val="20"/>
                <w:szCs w:val="20"/>
                <w:color w:val="auto"/>
              </w:rPr>
            </w:pPr>
            <w:r>
              <w:rPr>
                <w:rFonts w:ascii="Arial" w:cs="Arial" w:eastAsia="Arial" w:hAnsi="Arial"/>
                <w:sz w:val="20"/>
                <w:szCs w:val="20"/>
                <w:color w:val="2C2C2C"/>
                <w:w w:val="97"/>
              </w:rPr>
              <w:t>Fire Service</w:t>
            </w:r>
          </w:p>
        </w:tc>
        <w:tc>
          <w:tcPr>
            <w:tcW w:w="280" w:type="dxa"/>
            <w:vAlign w:val="bottom"/>
          </w:tcPr>
          <w:p>
            <w:pPr>
              <w:spacing w:after="0"/>
              <w:rPr>
                <w:sz w:val="20"/>
                <w:szCs w:val="20"/>
                <w:color w:val="auto"/>
              </w:rPr>
            </w:pPr>
            <w:r>
              <w:rPr>
                <w:rFonts w:ascii="Arial" w:cs="Arial" w:eastAsia="Arial" w:hAnsi="Arial"/>
                <w:sz w:val="13"/>
                <w:szCs w:val="13"/>
                <w:color w:val="2C2C2C"/>
              </w:rPr>
              <w:t>(b)</w:t>
            </w:r>
          </w:p>
        </w:tc>
        <w:tc>
          <w:tcPr>
            <w:tcW w:w="1960" w:type="dxa"/>
            <w:vAlign w:val="bottom"/>
            <w:gridSpan w:val="3"/>
          </w:tcPr>
          <w:p>
            <w:pPr>
              <w:jc w:val="center"/>
              <w:ind w:right="440"/>
              <w:spacing w:after="0" w:line="225" w:lineRule="exact"/>
              <w:rPr>
                <w:sz w:val="20"/>
                <w:szCs w:val="20"/>
                <w:color w:val="auto"/>
              </w:rPr>
            </w:pPr>
            <w:r>
              <w:rPr>
                <w:rFonts w:ascii="Arial" w:cs="Arial" w:eastAsia="Arial" w:hAnsi="Arial"/>
                <w:sz w:val="20"/>
                <w:szCs w:val="20"/>
                <w:color w:val="2C2C2C"/>
                <w:w w:val="97"/>
              </w:rPr>
              <w:t>Industrial PPE</w:t>
            </w:r>
          </w:p>
        </w:tc>
        <w:tc>
          <w:tcPr>
            <w:tcW w:w="1140" w:type="dxa"/>
            <w:vAlign w:val="bottom"/>
            <w:vMerge w:val="restart"/>
          </w:tcPr>
          <w:p>
            <w:pPr>
              <w:spacing w:after="0"/>
              <w:rPr>
                <w:sz w:val="20"/>
                <w:szCs w:val="20"/>
                <w:color w:val="auto"/>
              </w:rPr>
            </w:pPr>
            <w:r>
              <w:rPr>
                <w:rFonts w:ascii="Arial" w:cs="Arial" w:eastAsia="Arial" w:hAnsi="Arial"/>
                <w:sz w:val="20"/>
                <w:szCs w:val="20"/>
                <w:color w:val="2C2C2C"/>
              </w:rPr>
              <w:t>Net Sales</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440"/>
              <w:spacing w:after="0" w:line="235" w:lineRule="exact"/>
              <w:rPr>
                <w:sz w:val="20"/>
                <w:szCs w:val="20"/>
                <w:color w:val="auto"/>
              </w:rPr>
            </w:pPr>
            <w:r>
              <w:rPr>
                <w:rFonts w:ascii="Arial" w:cs="Arial" w:eastAsia="Arial" w:hAnsi="Arial"/>
                <w:sz w:val="20"/>
                <w:szCs w:val="20"/>
                <w:color w:val="2C2C2C"/>
                <w:w w:val="95"/>
              </w:rPr>
              <w:t>and Other</w:t>
            </w:r>
            <w:r>
              <w:rPr>
                <w:rFonts w:ascii="Arial" w:cs="Arial" w:eastAsia="Arial" w:hAnsi="Arial"/>
                <w:sz w:val="25"/>
                <w:szCs w:val="25"/>
                <w:color w:val="2C2C2C"/>
                <w:w w:val="95"/>
                <w:vertAlign w:val="superscript"/>
              </w:rPr>
              <w:t>(c)</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580" w:type="dxa"/>
            <w:vAlign w:val="bottom"/>
          </w:tcPr>
          <w:p>
            <w:pPr>
              <w:ind w:left="800"/>
              <w:spacing w:after="0"/>
              <w:rPr>
                <w:sz w:val="20"/>
                <w:szCs w:val="20"/>
                <w:color w:val="auto"/>
              </w:rPr>
            </w:pPr>
            <w:r>
              <w:rPr>
                <w:rFonts w:ascii="Arial" w:cs="Arial" w:eastAsia="Arial" w:hAnsi="Arial"/>
                <w:sz w:val="20"/>
                <w:szCs w:val="20"/>
                <w:color w:val="2C2C2C"/>
              </w:rPr>
              <w:t>GAAP reported sales change</w:t>
            </w:r>
          </w:p>
        </w:tc>
        <w:tc>
          <w:tcPr>
            <w:tcW w:w="1020" w:type="dxa"/>
            <w:vAlign w:val="bottom"/>
          </w:tcPr>
          <w:p>
            <w:pPr>
              <w:jc w:val="center"/>
              <w:ind w:left="241"/>
              <w:spacing w:after="0"/>
              <w:rPr>
                <w:sz w:val="20"/>
                <w:szCs w:val="20"/>
                <w:color w:val="auto"/>
              </w:rPr>
            </w:pPr>
            <w:r>
              <w:rPr>
                <w:rFonts w:ascii="Arial" w:cs="Arial" w:eastAsia="Arial" w:hAnsi="Arial"/>
                <w:sz w:val="20"/>
                <w:szCs w:val="20"/>
                <w:color w:val="2C2C2C"/>
                <w:w w:val="99"/>
              </w:rPr>
              <w:t>22%</w:t>
            </w:r>
          </w:p>
        </w:tc>
        <w:tc>
          <w:tcPr>
            <w:tcW w:w="300" w:type="dxa"/>
            <w:vAlign w:val="bottom"/>
          </w:tcPr>
          <w:p>
            <w:pPr>
              <w:spacing w:after="0"/>
              <w:rPr>
                <w:sz w:val="22"/>
                <w:szCs w:val="22"/>
                <w:color w:val="auto"/>
              </w:rPr>
            </w:pPr>
          </w:p>
        </w:tc>
        <w:tc>
          <w:tcPr>
            <w:tcW w:w="1200" w:type="dxa"/>
            <w:vAlign w:val="bottom"/>
          </w:tcPr>
          <w:p>
            <w:pPr>
              <w:jc w:val="center"/>
              <w:ind w:left="181"/>
              <w:spacing w:after="0"/>
              <w:rPr>
                <w:sz w:val="20"/>
                <w:szCs w:val="20"/>
                <w:color w:val="auto"/>
              </w:rPr>
            </w:pPr>
            <w:r>
              <w:rPr>
                <w:rFonts w:ascii="Arial" w:cs="Arial" w:eastAsia="Arial" w:hAnsi="Arial"/>
                <w:sz w:val="20"/>
                <w:szCs w:val="20"/>
                <w:color w:val="2C2C2C"/>
                <w:w w:val="96"/>
              </w:rPr>
              <w:t>9%</w:t>
            </w:r>
          </w:p>
        </w:tc>
        <w:tc>
          <w:tcPr>
            <w:tcW w:w="2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6"/>
              </w:rPr>
              <w:t>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161"/>
              <w:spacing w:after="0"/>
              <w:rPr>
                <w:sz w:val="20"/>
                <w:szCs w:val="20"/>
                <w:color w:val="auto"/>
              </w:rPr>
            </w:pPr>
            <w:r>
              <w:rPr>
                <w:rFonts w:ascii="Arial" w:cs="Arial" w:eastAsia="Arial" w:hAnsi="Arial"/>
                <w:sz w:val="20"/>
                <w:szCs w:val="20"/>
                <w:color w:val="2C2C2C"/>
                <w:w w:val="99"/>
              </w:rPr>
              <w:t>15%</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Currency translation effects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rPr>
              <w:t>—%</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w w:val="99"/>
              </w:rPr>
              <w:t>(1)%</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Less: Acquisitions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rPr>
              <w:t>(20)%</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20"/>
                <w:szCs w:val="20"/>
                <w:color w:val="2C2C2C"/>
                <w:w w:val="95"/>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w w:val="99"/>
              </w:rPr>
              <w:t>(8)%</w:t>
            </w:r>
          </w:p>
        </w:tc>
        <w:tc>
          <w:tcPr>
            <w:tcW w:w="0" w:type="dxa"/>
            <w:vAlign w:val="bottom"/>
          </w:tcPr>
          <w:p>
            <w:pPr>
              <w:spacing w:after="0"/>
              <w:rPr>
                <w:sz w:val="1"/>
                <w:szCs w:val="1"/>
                <w:color w:val="auto"/>
              </w:rPr>
            </w:pPr>
          </w:p>
        </w:tc>
      </w:tr>
      <w:tr>
        <w:trPr>
          <w:trHeight w:val="263"/>
        </w:trPr>
        <w:tc>
          <w:tcPr>
            <w:tcW w:w="4580" w:type="dxa"/>
            <w:vAlign w:val="bottom"/>
          </w:tcPr>
          <w:p>
            <w:pPr>
              <w:ind w:left="800"/>
              <w:spacing w:after="0"/>
              <w:rPr>
                <w:sz w:val="20"/>
                <w:szCs w:val="20"/>
                <w:color w:val="auto"/>
              </w:rPr>
            </w:pPr>
            <w:r>
              <w:rPr>
                <w:rFonts w:ascii="Arial" w:cs="Arial" w:eastAsia="Arial" w:hAnsi="Arial"/>
                <w:sz w:val="20"/>
                <w:szCs w:val="20"/>
                <w:color w:val="2C2C2C"/>
              </w:rPr>
              <w:t>Organic sales change</w:t>
            </w:r>
          </w:p>
        </w:tc>
        <w:tc>
          <w:tcPr>
            <w:tcW w:w="1020" w:type="dxa"/>
            <w:vAlign w:val="bottom"/>
            <w:tcBorders>
              <w:top w:val="single" w:sz="8" w:color="auto"/>
            </w:tcBorders>
          </w:tcPr>
          <w:p>
            <w:pPr>
              <w:jc w:val="center"/>
              <w:ind w:left="241"/>
              <w:spacing w:after="0"/>
              <w:rPr>
                <w:sz w:val="20"/>
                <w:szCs w:val="20"/>
                <w:color w:val="auto"/>
              </w:rPr>
            </w:pPr>
            <w:r>
              <w:rPr>
                <w:rFonts w:ascii="Arial" w:cs="Arial" w:eastAsia="Arial" w:hAnsi="Arial"/>
                <w:sz w:val="20"/>
                <w:szCs w:val="20"/>
                <w:color w:val="2C2C2C"/>
                <w:w w:val="96"/>
              </w:rPr>
              <w:t>2%</w:t>
            </w: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center"/>
              <w:ind w:left="181"/>
              <w:spacing w:after="0"/>
              <w:rPr>
                <w:sz w:val="20"/>
                <w:szCs w:val="20"/>
                <w:color w:val="auto"/>
              </w:rPr>
            </w:pPr>
            <w:r>
              <w:rPr>
                <w:rFonts w:ascii="Arial" w:cs="Arial" w:eastAsia="Arial" w:hAnsi="Arial"/>
                <w:sz w:val="20"/>
                <w:szCs w:val="20"/>
                <w:color w:val="2C2C2C"/>
                <w:w w:val="96"/>
              </w:rPr>
              <w:t>9%</w:t>
            </w: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2C2C2C"/>
                <w:w w:val="96"/>
              </w:rPr>
              <w:t>7%</w:t>
            </w: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center"/>
              <w:ind w:right="161"/>
              <w:spacing w:after="0"/>
              <w:rPr>
                <w:sz w:val="20"/>
                <w:szCs w:val="20"/>
                <w:color w:val="auto"/>
              </w:rPr>
            </w:pPr>
            <w:r>
              <w:rPr>
                <w:rFonts w:ascii="Arial" w:cs="Arial" w:eastAsia="Arial" w:hAnsi="Arial"/>
                <w:sz w:val="20"/>
                <w:szCs w:val="20"/>
                <w:color w:val="2C2C2C"/>
                <w:w w:val="96"/>
              </w:rPr>
              <w:t>6%</w:t>
            </w:r>
          </w:p>
        </w:tc>
        <w:tc>
          <w:tcPr>
            <w:tcW w:w="0" w:type="dxa"/>
            <w:vAlign w:val="bottom"/>
          </w:tcPr>
          <w:p>
            <w:pPr>
              <w:spacing w:after="0"/>
              <w:rPr>
                <w:sz w:val="1"/>
                <w:szCs w:val="1"/>
                <w:color w:val="auto"/>
              </w:rPr>
            </w:pPr>
          </w:p>
        </w:tc>
      </w:tr>
      <w:tr>
        <w:trPr>
          <w:trHeight w:val="542"/>
        </w:trPr>
        <w:tc>
          <w:tcPr>
            <w:tcW w:w="4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18"/>
              <w:spacing w:after="0"/>
              <w:rPr>
                <w:sz w:val="20"/>
                <w:szCs w:val="20"/>
                <w:color w:val="auto"/>
              </w:rPr>
            </w:pPr>
            <w:r>
              <w:rPr>
                <w:rFonts w:ascii="Arial" w:cs="Arial" w:eastAsia="Arial" w:hAnsi="Arial"/>
                <w:sz w:val="20"/>
                <w:szCs w:val="20"/>
                <w:color w:val="2C2C2C"/>
                <w:w w:val="99"/>
              </w:rPr>
              <w:t>Nine Months Ended September 30, 2026</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20" w:type="dxa"/>
            <w:vAlign w:val="bottom"/>
            <w:vMerge w:val="restart"/>
          </w:tcPr>
          <w:p>
            <w:pPr>
              <w:ind w:left="200"/>
              <w:spacing w:after="0"/>
              <w:rPr>
                <w:sz w:val="20"/>
                <w:szCs w:val="20"/>
                <w:color w:val="auto"/>
              </w:rPr>
            </w:pPr>
            <w:r>
              <w:rPr>
                <w:rFonts w:ascii="Arial" w:cs="Arial" w:eastAsia="Arial" w:hAnsi="Arial"/>
                <w:sz w:val="20"/>
                <w:szCs w:val="20"/>
                <w:color w:val="2C2C2C"/>
                <w:w w:val="94"/>
              </w:rPr>
              <w:t>Detection</w:t>
            </w:r>
          </w:p>
        </w:tc>
        <w:tc>
          <w:tcPr>
            <w:tcW w:w="300" w:type="dxa"/>
            <w:vAlign w:val="bottom"/>
          </w:tcPr>
          <w:p>
            <w:pPr>
              <w:spacing w:after="0"/>
              <w:rPr>
                <w:sz w:val="20"/>
                <w:szCs w:val="20"/>
                <w:color w:val="auto"/>
              </w:rPr>
            </w:pPr>
            <w:r>
              <w:rPr>
                <w:rFonts w:ascii="Arial" w:cs="Arial" w:eastAsia="Arial" w:hAnsi="Arial"/>
                <w:sz w:val="13"/>
                <w:szCs w:val="13"/>
                <w:color w:val="2C2C2C"/>
              </w:rPr>
              <w:t>(a)</w:t>
            </w:r>
          </w:p>
        </w:tc>
        <w:tc>
          <w:tcPr>
            <w:tcW w:w="1200" w:type="dxa"/>
            <w:vAlign w:val="bottom"/>
            <w:vMerge w:val="restart"/>
          </w:tcPr>
          <w:p>
            <w:pPr>
              <w:ind w:left="140"/>
              <w:spacing w:after="0"/>
              <w:rPr>
                <w:sz w:val="20"/>
                <w:szCs w:val="20"/>
                <w:color w:val="auto"/>
              </w:rPr>
            </w:pPr>
            <w:r>
              <w:rPr>
                <w:rFonts w:ascii="Arial" w:cs="Arial" w:eastAsia="Arial" w:hAnsi="Arial"/>
                <w:sz w:val="20"/>
                <w:szCs w:val="20"/>
                <w:color w:val="2C2C2C"/>
                <w:w w:val="97"/>
              </w:rPr>
              <w:t>Fire Service</w:t>
            </w:r>
          </w:p>
        </w:tc>
        <w:tc>
          <w:tcPr>
            <w:tcW w:w="280" w:type="dxa"/>
            <w:vAlign w:val="bottom"/>
          </w:tcPr>
          <w:p>
            <w:pPr>
              <w:spacing w:after="0"/>
              <w:rPr>
                <w:sz w:val="20"/>
                <w:szCs w:val="20"/>
                <w:color w:val="auto"/>
              </w:rPr>
            </w:pPr>
            <w:r>
              <w:rPr>
                <w:rFonts w:ascii="Arial" w:cs="Arial" w:eastAsia="Arial" w:hAnsi="Arial"/>
                <w:sz w:val="13"/>
                <w:szCs w:val="13"/>
                <w:color w:val="2C2C2C"/>
              </w:rPr>
              <w:t>(b)</w:t>
            </w:r>
          </w:p>
        </w:tc>
        <w:tc>
          <w:tcPr>
            <w:tcW w:w="1960" w:type="dxa"/>
            <w:vAlign w:val="bottom"/>
            <w:gridSpan w:val="3"/>
          </w:tcPr>
          <w:p>
            <w:pPr>
              <w:jc w:val="center"/>
              <w:ind w:right="440"/>
              <w:spacing w:after="0" w:line="225" w:lineRule="exact"/>
              <w:rPr>
                <w:sz w:val="20"/>
                <w:szCs w:val="20"/>
                <w:color w:val="auto"/>
              </w:rPr>
            </w:pPr>
            <w:r>
              <w:rPr>
                <w:rFonts w:ascii="Arial" w:cs="Arial" w:eastAsia="Arial" w:hAnsi="Arial"/>
                <w:sz w:val="20"/>
                <w:szCs w:val="20"/>
                <w:color w:val="2C2C2C"/>
                <w:w w:val="97"/>
              </w:rPr>
              <w:t>Industrial PPE</w:t>
            </w:r>
          </w:p>
        </w:tc>
        <w:tc>
          <w:tcPr>
            <w:tcW w:w="1140" w:type="dxa"/>
            <w:vAlign w:val="bottom"/>
            <w:vMerge w:val="restart"/>
          </w:tcPr>
          <w:p>
            <w:pPr>
              <w:spacing w:after="0"/>
              <w:rPr>
                <w:sz w:val="20"/>
                <w:szCs w:val="20"/>
                <w:color w:val="auto"/>
              </w:rPr>
            </w:pPr>
            <w:r>
              <w:rPr>
                <w:rFonts w:ascii="Arial" w:cs="Arial" w:eastAsia="Arial" w:hAnsi="Arial"/>
                <w:sz w:val="20"/>
                <w:szCs w:val="20"/>
                <w:color w:val="2C2C2C"/>
              </w:rPr>
              <w:t>Net Sales</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440"/>
              <w:spacing w:after="0" w:line="235" w:lineRule="exact"/>
              <w:rPr>
                <w:sz w:val="20"/>
                <w:szCs w:val="20"/>
                <w:color w:val="auto"/>
              </w:rPr>
            </w:pPr>
            <w:r>
              <w:rPr>
                <w:rFonts w:ascii="Arial" w:cs="Arial" w:eastAsia="Arial" w:hAnsi="Arial"/>
                <w:sz w:val="20"/>
                <w:szCs w:val="20"/>
                <w:color w:val="2C2C2C"/>
                <w:w w:val="95"/>
              </w:rPr>
              <w:t>and Other</w:t>
            </w:r>
            <w:r>
              <w:rPr>
                <w:rFonts w:ascii="Arial" w:cs="Arial" w:eastAsia="Arial" w:hAnsi="Arial"/>
                <w:sz w:val="25"/>
                <w:szCs w:val="25"/>
                <w:color w:val="2C2C2C"/>
                <w:w w:val="95"/>
                <w:vertAlign w:val="superscript"/>
              </w:rPr>
              <w:t>(c)</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580" w:type="dxa"/>
            <w:vAlign w:val="bottom"/>
          </w:tcPr>
          <w:p>
            <w:pPr>
              <w:ind w:left="800"/>
              <w:spacing w:after="0"/>
              <w:rPr>
                <w:sz w:val="20"/>
                <w:szCs w:val="20"/>
                <w:color w:val="auto"/>
              </w:rPr>
            </w:pPr>
            <w:r>
              <w:rPr>
                <w:rFonts w:ascii="Arial" w:cs="Arial" w:eastAsia="Arial" w:hAnsi="Arial"/>
                <w:sz w:val="20"/>
                <w:szCs w:val="20"/>
                <w:color w:val="2C2C2C"/>
              </w:rPr>
              <w:t>GAAP reported sales change</w:t>
            </w:r>
          </w:p>
        </w:tc>
        <w:tc>
          <w:tcPr>
            <w:tcW w:w="1020" w:type="dxa"/>
            <w:vAlign w:val="bottom"/>
          </w:tcPr>
          <w:p>
            <w:pPr>
              <w:jc w:val="center"/>
              <w:ind w:left="241"/>
              <w:spacing w:after="0"/>
              <w:rPr>
                <w:sz w:val="20"/>
                <w:szCs w:val="20"/>
                <w:color w:val="auto"/>
              </w:rPr>
            </w:pPr>
            <w:r>
              <w:rPr>
                <w:rFonts w:ascii="Arial" w:cs="Arial" w:eastAsia="Arial" w:hAnsi="Arial"/>
                <w:sz w:val="20"/>
                <w:szCs w:val="20"/>
                <w:color w:val="2C2C2C"/>
                <w:w w:val="99"/>
              </w:rPr>
              <w:t>13%</w:t>
            </w:r>
          </w:p>
        </w:tc>
        <w:tc>
          <w:tcPr>
            <w:tcW w:w="300" w:type="dxa"/>
            <w:vAlign w:val="bottom"/>
          </w:tcPr>
          <w:p>
            <w:pPr>
              <w:spacing w:after="0"/>
              <w:rPr>
                <w:sz w:val="22"/>
                <w:szCs w:val="22"/>
                <w:color w:val="auto"/>
              </w:rPr>
            </w:pPr>
          </w:p>
        </w:tc>
        <w:tc>
          <w:tcPr>
            <w:tcW w:w="1200" w:type="dxa"/>
            <w:vAlign w:val="bottom"/>
          </w:tcPr>
          <w:p>
            <w:pPr>
              <w:jc w:val="center"/>
              <w:ind w:left="181"/>
              <w:spacing w:after="0"/>
              <w:rPr>
                <w:sz w:val="20"/>
                <w:szCs w:val="20"/>
                <w:color w:val="auto"/>
              </w:rPr>
            </w:pPr>
            <w:r>
              <w:rPr>
                <w:rFonts w:ascii="Arial" w:cs="Arial" w:eastAsia="Arial" w:hAnsi="Arial"/>
                <w:sz w:val="20"/>
                <w:szCs w:val="20"/>
                <w:color w:val="2C2C2C"/>
                <w:w w:val="96"/>
              </w:rPr>
              <w:t>5%</w:t>
            </w:r>
          </w:p>
        </w:tc>
        <w:tc>
          <w:tcPr>
            <w:tcW w:w="2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14%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161"/>
              <w:spacing w:after="0"/>
              <w:rPr>
                <w:sz w:val="20"/>
                <w:szCs w:val="20"/>
                <w:color w:val="auto"/>
              </w:rPr>
            </w:pPr>
            <w:r>
              <w:rPr>
                <w:rFonts w:ascii="Arial" w:cs="Arial" w:eastAsia="Arial" w:hAnsi="Arial"/>
                <w:sz w:val="20"/>
                <w:szCs w:val="20"/>
                <w:color w:val="2C2C2C"/>
                <w:w w:val="99"/>
              </w:rPr>
              <w:t>10%</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Currency translation effects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w w:val="99"/>
              </w:rPr>
              <w:t>(1)%</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w w:val="99"/>
              </w:rPr>
              <w:t>(2)%</w:t>
            </w:r>
          </w:p>
        </w:tc>
        <w:tc>
          <w:tcPr>
            <w:tcW w:w="2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w w:val="99"/>
              </w:rPr>
              <w:t>(2)%</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Less: Acquisitions</w:t>
            </w:r>
          </w:p>
        </w:tc>
        <w:tc>
          <w:tcPr>
            <w:tcW w:w="1020" w:type="dxa"/>
            <w:vAlign w:val="bottom"/>
          </w:tcPr>
          <w:p>
            <w:pPr>
              <w:jc w:val="center"/>
              <w:ind w:left="241"/>
              <w:spacing w:after="0"/>
              <w:rPr>
                <w:sz w:val="20"/>
                <w:szCs w:val="20"/>
                <w:color w:val="auto"/>
              </w:rPr>
            </w:pPr>
            <w:r>
              <w:rPr>
                <w:rFonts w:ascii="Arial" w:cs="Arial" w:eastAsia="Arial" w:hAnsi="Arial"/>
                <w:sz w:val="20"/>
                <w:szCs w:val="20"/>
                <w:color w:val="2C2C2C"/>
                <w:w w:val="97"/>
              </w:rPr>
              <w:t>(11)%</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20"/>
                <w:szCs w:val="20"/>
                <w:color w:val="2C2C2C"/>
                <w:w w:val="95"/>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w w:val="99"/>
              </w:rPr>
              <w:t>(4)%</w:t>
            </w:r>
          </w:p>
        </w:tc>
        <w:tc>
          <w:tcPr>
            <w:tcW w:w="0" w:type="dxa"/>
            <w:vAlign w:val="bottom"/>
          </w:tcPr>
          <w:p>
            <w:pPr>
              <w:spacing w:after="0"/>
              <w:rPr>
                <w:sz w:val="1"/>
                <w:szCs w:val="1"/>
                <w:color w:val="auto"/>
              </w:rPr>
            </w:pPr>
          </w:p>
        </w:tc>
      </w:tr>
      <w:tr>
        <w:trPr>
          <w:trHeight w:val="263"/>
        </w:trPr>
        <w:tc>
          <w:tcPr>
            <w:tcW w:w="4580" w:type="dxa"/>
            <w:vAlign w:val="bottom"/>
          </w:tcPr>
          <w:p>
            <w:pPr>
              <w:ind w:left="800"/>
              <w:spacing w:after="0"/>
              <w:rPr>
                <w:sz w:val="20"/>
                <w:szCs w:val="20"/>
                <w:color w:val="auto"/>
              </w:rPr>
            </w:pPr>
            <w:r>
              <w:rPr>
                <w:rFonts w:ascii="Arial" w:cs="Arial" w:eastAsia="Arial" w:hAnsi="Arial"/>
                <w:sz w:val="20"/>
                <w:szCs w:val="20"/>
                <w:color w:val="2C2C2C"/>
              </w:rPr>
              <w:t>Organic sales change</w:t>
            </w:r>
          </w:p>
        </w:tc>
        <w:tc>
          <w:tcPr>
            <w:tcW w:w="1020" w:type="dxa"/>
            <w:vAlign w:val="bottom"/>
            <w:tcBorders>
              <w:top w:val="single" w:sz="8" w:color="auto"/>
            </w:tcBorders>
          </w:tcPr>
          <w:p>
            <w:pPr>
              <w:jc w:val="center"/>
              <w:ind w:left="241"/>
              <w:spacing w:after="0"/>
              <w:rPr>
                <w:sz w:val="20"/>
                <w:szCs w:val="20"/>
                <w:color w:val="auto"/>
              </w:rPr>
            </w:pPr>
            <w:r>
              <w:rPr>
                <w:rFonts w:ascii="Arial" w:cs="Arial" w:eastAsia="Arial" w:hAnsi="Arial"/>
                <w:sz w:val="20"/>
                <w:szCs w:val="20"/>
                <w:color w:val="2C2C2C"/>
                <w:w w:val="96"/>
              </w:rPr>
              <w:t>1%</w:t>
            </w: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center"/>
              <w:ind w:left="181"/>
              <w:spacing w:after="0"/>
              <w:rPr>
                <w:sz w:val="20"/>
                <w:szCs w:val="20"/>
                <w:color w:val="auto"/>
              </w:rPr>
            </w:pPr>
            <w:r>
              <w:rPr>
                <w:rFonts w:ascii="Arial" w:cs="Arial" w:eastAsia="Arial" w:hAnsi="Arial"/>
                <w:sz w:val="20"/>
                <w:szCs w:val="20"/>
                <w:color w:val="2C2C2C"/>
                <w:w w:val="96"/>
              </w:rPr>
              <w:t>3%</w:t>
            </w: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2C2C2C"/>
                <w:w w:val="99"/>
              </w:rPr>
              <w:t>10%</w:t>
            </w: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center"/>
              <w:ind w:right="161"/>
              <w:spacing w:after="0"/>
              <w:rPr>
                <w:sz w:val="20"/>
                <w:szCs w:val="20"/>
                <w:color w:val="auto"/>
              </w:rPr>
            </w:pPr>
            <w:r>
              <w:rPr>
                <w:rFonts w:ascii="Arial" w:cs="Arial" w:eastAsia="Arial" w:hAnsi="Arial"/>
                <w:sz w:val="20"/>
                <w:szCs w:val="20"/>
                <w:color w:val="2C2C2C"/>
                <w:w w:val="96"/>
              </w:rPr>
              <w:t>4%</w:t>
            </w:r>
          </w:p>
        </w:tc>
        <w:tc>
          <w:tcPr>
            <w:tcW w:w="0" w:type="dxa"/>
            <w:vAlign w:val="bottom"/>
          </w:tcPr>
          <w:p>
            <w:pPr>
              <w:spacing w:after="0"/>
              <w:rPr>
                <w:sz w:val="1"/>
                <w:szCs w:val="1"/>
                <w:color w:val="auto"/>
              </w:rPr>
            </w:pPr>
          </w:p>
        </w:tc>
      </w:tr>
      <w:tr>
        <w:trPr>
          <w:trHeight w:val="824"/>
        </w:trPr>
        <w:tc>
          <w:tcPr>
            <w:tcW w:w="4580" w:type="dxa"/>
            <w:vAlign w:val="bottom"/>
          </w:tcPr>
          <w:p>
            <w:pPr>
              <w:spacing w:after="0"/>
              <w:rPr>
                <w:sz w:val="20"/>
                <w:szCs w:val="20"/>
                <w:color w:val="auto"/>
              </w:rPr>
            </w:pPr>
            <w:r>
              <w:rPr>
                <w:rFonts w:ascii="Arial" w:cs="Arial" w:eastAsia="Arial" w:hAnsi="Arial"/>
                <w:sz w:val="20"/>
                <w:szCs w:val="20"/>
                <w:color w:val="2C2C2C"/>
              </w:rPr>
              <w:t>Americas Segment</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7"/>
          </w:tcPr>
          <w:p>
            <w:pPr>
              <w:jc w:val="center"/>
              <w:ind w:right="941"/>
              <w:spacing w:after="0"/>
              <w:rPr>
                <w:sz w:val="20"/>
                <w:szCs w:val="20"/>
                <w:color w:val="auto"/>
              </w:rPr>
            </w:pPr>
            <w:r>
              <w:rPr>
                <w:rFonts w:ascii="Arial" w:cs="Arial" w:eastAsia="Arial" w:hAnsi="Arial"/>
                <w:sz w:val="20"/>
                <w:szCs w:val="20"/>
                <w:color w:val="2C2C2C"/>
                <w:w w:val="98"/>
              </w:rPr>
              <w:t>Three Months Ended September 30, 2026</w:t>
            </w: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20" w:type="dxa"/>
            <w:vAlign w:val="bottom"/>
            <w:vMerge w:val="restart"/>
          </w:tcPr>
          <w:p>
            <w:pPr>
              <w:ind w:left="200"/>
              <w:spacing w:after="0"/>
              <w:rPr>
                <w:sz w:val="20"/>
                <w:szCs w:val="20"/>
                <w:color w:val="auto"/>
              </w:rPr>
            </w:pPr>
            <w:r>
              <w:rPr>
                <w:rFonts w:ascii="Arial" w:cs="Arial" w:eastAsia="Arial" w:hAnsi="Arial"/>
                <w:sz w:val="20"/>
                <w:szCs w:val="20"/>
                <w:color w:val="2C2C2C"/>
                <w:w w:val="94"/>
              </w:rPr>
              <w:t>Detection</w:t>
            </w:r>
          </w:p>
        </w:tc>
        <w:tc>
          <w:tcPr>
            <w:tcW w:w="300" w:type="dxa"/>
            <w:vAlign w:val="bottom"/>
          </w:tcPr>
          <w:p>
            <w:pPr>
              <w:spacing w:after="0"/>
              <w:rPr>
                <w:sz w:val="20"/>
                <w:szCs w:val="20"/>
                <w:color w:val="auto"/>
              </w:rPr>
            </w:pPr>
            <w:r>
              <w:rPr>
                <w:rFonts w:ascii="Arial" w:cs="Arial" w:eastAsia="Arial" w:hAnsi="Arial"/>
                <w:sz w:val="13"/>
                <w:szCs w:val="13"/>
                <w:color w:val="2C2C2C"/>
              </w:rPr>
              <w:t>(a)</w:t>
            </w:r>
          </w:p>
        </w:tc>
        <w:tc>
          <w:tcPr>
            <w:tcW w:w="1200" w:type="dxa"/>
            <w:vAlign w:val="bottom"/>
            <w:vMerge w:val="restart"/>
          </w:tcPr>
          <w:p>
            <w:pPr>
              <w:ind w:left="140"/>
              <w:spacing w:after="0"/>
              <w:rPr>
                <w:sz w:val="20"/>
                <w:szCs w:val="20"/>
                <w:color w:val="auto"/>
              </w:rPr>
            </w:pPr>
            <w:r>
              <w:rPr>
                <w:rFonts w:ascii="Arial" w:cs="Arial" w:eastAsia="Arial" w:hAnsi="Arial"/>
                <w:sz w:val="20"/>
                <w:szCs w:val="20"/>
                <w:color w:val="2C2C2C"/>
                <w:w w:val="97"/>
              </w:rPr>
              <w:t>Fire Service</w:t>
            </w:r>
          </w:p>
        </w:tc>
        <w:tc>
          <w:tcPr>
            <w:tcW w:w="280" w:type="dxa"/>
            <w:vAlign w:val="bottom"/>
          </w:tcPr>
          <w:p>
            <w:pPr>
              <w:spacing w:after="0"/>
              <w:rPr>
                <w:sz w:val="20"/>
                <w:szCs w:val="20"/>
                <w:color w:val="auto"/>
              </w:rPr>
            </w:pPr>
            <w:r>
              <w:rPr>
                <w:rFonts w:ascii="Arial" w:cs="Arial" w:eastAsia="Arial" w:hAnsi="Arial"/>
                <w:sz w:val="13"/>
                <w:szCs w:val="13"/>
                <w:color w:val="2C2C2C"/>
              </w:rPr>
              <w:t>(b)</w:t>
            </w:r>
          </w:p>
        </w:tc>
        <w:tc>
          <w:tcPr>
            <w:tcW w:w="1960" w:type="dxa"/>
            <w:vAlign w:val="bottom"/>
            <w:gridSpan w:val="3"/>
          </w:tcPr>
          <w:p>
            <w:pPr>
              <w:jc w:val="center"/>
              <w:ind w:right="440"/>
              <w:spacing w:after="0" w:line="225" w:lineRule="exact"/>
              <w:rPr>
                <w:sz w:val="20"/>
                <w:szCs w:val="20"/>
                <w:color w:val="auto"/>
              </w:rPr>
            </w:pPr>
            <w:r>
              <w:rPr>
                <w:rFonts w:ascii="Arial" w:cs="Arial" w:eastAsia="Arial" w:hAnsi="Arial"/>
                <w:sz w:val="20"/>
                <w:szCs w:val="20"/>
                <w:color w:val="2C2C2C"/>
                <w:w w:val="97"/>
              </w:rPr>
              <w:t>Industrial PPE</w:t>
            </w:r>
          </w:p>
        </w:tc>
        <w:tc>
          <w:tcPr>
            <w:tcW w:w="1140" w:type="dxa"/>
            <w:vAlign w:val="bottom"/>
            <w:vMerge w:val="restart"/>
          </w:tcPr>
          <w:p>
            <w:pPr>
              <w:spacing w:after="0"/>
              <w:rPr>
                <w:sz w:val="20"/>
                <w:szCs w:val="20"/>
                <w:color w:val="auto"/>
              </w:rPr>
            </w:pPr>
            <w:r>
              <w:rPr>
                <w:rFonts w:ascii="Arial" w:cs="Arial" w:eastAsia="Arial" w:hAnsi="Arial"/>
                <w:sz w:val="20"/>
                <w:szCs w:val="20"/>
                <w:color w:val="2C2C2C"/>
              </w:rPr>
              <w:t>Net Sales</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440"/>
              <w:spacing w:after="0" w:line="235" w:lineRule="exact"/>
              <w:rPr>
                <w:sz w:val="20"/>
                <w:szCs w:val="20"/>
                <w:color w:val="auto"/>
              </w:rPr>
            </w:pPr>
            <w:r>
              <w:rPr>
                <w:rFonts w:ascii="Arial" w:cs="Arial" w:eastAsia="Arial" w:hAnsi="Arial"/>
                <w:sz w:val="20"/>
                <w:szCs w:val="20"/>
                <w:color w:val="2C2C2C"/>
                <w:w w:val="95"/>
              </w:rPr>
              <w:t>and Other</w:t>
            </w:r>
            <w:r>
              <w:rPr>
                <w:rFonts w:ascii="Arial" w:cs="Arial" w:eastAsia="Arial" w:hAnsi="Arial"/>
                <w:sz w:val="25"/>
                <w:szCs w:val="25"/>
                <w:color w:val="2C2C2C"/>
                <w:w w:val="95"/>
                <w:vertAlign w:val="superscript"/>
              </w:rPr>
              <w:t>(c)</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580" w:type="dxa"/>
            <w:vAlign w:val="bottom"/>
          </w:tcPr>
          <w:p>
            <w:pPr>
              <w:ind w:left="800"/>
              <w:spacing w:after="0"/>
              <w:rPr>
                <w:sz w:val="20"/>
                <w:szCs w:val="20"/>
                <w:color w:val="auto"/>
              </w:rPr>
            </w:pPr>
            <w:r>
              <w:rPr>
                <w:rFonts w:ascii="Arial" w:cs="Arial" w:eastAsia="Arial" w:hAnsi="Arial"/>
                <w:sz w:val="20"/>
                <w:szCs w:val="20"/>
                <w:color w:val="2C2C2C"/>
              </w:rPr>
              <w:t>GAAP reported sales change</w:t>
            </w:r>
          </w:p>
        </w:tc>
        <w:tc>
          <w:tcPr>
            <w:tcW w:w="1020" w:type="dxa"/>
            <w:vAlign w:val="bottom"/>
          </w:tcPr>
          <w:p>
            <w:pPr>
              <w:jc w:val="center"/>
              <w:ind w:left="241"/>
              <w:spacing w:after="0"/>
              <w:rPr>
                <w:sz w:val="20"/>
                <w:szCs w:val="20"/>
                <w:color w:val="auto"/>
              </w:rPr>
            </w:pPr>
            <w:r>
              <w:rPr>
                <w:rFonts w:ascii="Arial" w:cs="Arial" w:eastAsia="Arial" w:hAnsi="Arial"/>
                <w:sz w:val="20"/>
                <w:szCs w:val="20"/>
                <w:color w:val="2C2C2C"/>
                <w:w w:val="96"/>
              </w:rPr>
              <w:t>5%</w:t>
            </w:r>
          </w:p>
        </w:tc>
        <w:tc>
          <w:tcPr>
            <w:tcW w:w="300" w:type="dxa"/>
            <w:vAlign w:val="bottom"/>
          </w:tcPr>
          <w:p>
            <w:pPr>
              <w:spacing w:after="0"/>
              <w:rPr>
                <w:sz w:val="22"/>
                <w:szCs w:val="22"/>
                <w:color w:val="auto"/>
              </w:rPr>
            </w:pPr>
          </w:p>
        </w:tc>
        <w:tc>
          <w:tcPr>
            <w:tcW w:w="1200" w:type="dxa"/>
            <w:vAlign w:val="bottom"/>
          </w:tcPr>
          <w:p>
            <w:pPr>
              <w:jc w:val="center"/>
              <w:ind w:left="181"/>
              <w:spacing w:after="0"/>
              <w:rPr>
                <w:sz w:val="20"/>
                <w:szCs w:val="20"/>
                <w:color w:val="auto"/>
              </w:rPr>
            </w:pPr>
            <w:r>
              <w:rPr>
                <w:rFonts w:ascii="Arial" w:cs="Arial" w:eastAsia="Arial" w:hAnsi="Arial"/>
                <w:sz w:val="20"/>
                <w:szCs w:val="20"/>
                <w:color w:val="2C2C2C"/>
                <w:w w:val="96"/>
              </w:rPr>
              <w:t>9%</w:t>
            </w:r>
          </w:p>
        </w:tc>
        <w:tc>
          <w:tcPr>
            <w:tcW w:w="2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12%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161"/>
              <w:spacing w:after="0"/>
              <w:rPr>
                <w:sz w:val="20"/>
                <w:szCs w:val="20"/>
                <w:color w:val="auto"/>
              </w:rPr>
            </w:pPr>
            <w:r>
              <w:rPr>
                <w:rFonts w:ascii="Arial" w:cs="Arial" w:eastAsia="Arial" w:hAnsi="Arial"/>
                <w:sz w:val="20"/>
                <w:szCs w:val="20"/>
                <w:color w:val="2C2C2C"/>
                <w:w w:val="96"/>
              </w:rPr>
              <w:t>8%</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Currency translation effects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rPr>
              <w:t>—%</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(3)%</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w w:val="99"/>
              </w:rPr>
              <w:t>(1)%</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Less: Acquisitions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w w:val="99"/>
              </w:rPr>
              <w:t>(1)%</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20"/>
                <w:szCs w:val="20"/>
                <w:color w:val="2C2C2C"/>
                <w:w w:val="95"/>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rPr>
              <w:t>—%</w:t>
            </w:r>
          </w:p>
        </w:tc>
        <w:tc>
          <w:tcPr>
            <w:tcW w:w="0" w:type="dxa"/>
            <w:vAlign w:val="bottom"/>
          </w:tcPr>
          <w:p>
            <w:pPr>
              <w:spacing w:after="0"/>
              <w:rPr>
                <w:sz w:val="1"/>
                <w:szCs w:val="1"/>
                <w:color w:val="auto"/>
              </w:rPr>
            </w:pPr>
          </w:p>
        </w:tc>
      </w:tr>
      <w:tr>
        <w:trPr>
          <w:trHeight w:val="264"/>
        </w:trPr>
        <w:tc>
          <w:tcPr>
            <w:tcW w:w="4580" w:type="dxa"/>
            <w:vAlign w:val="bottom"/>
          </w:tcPr>
          <w:p>
            <w:pPr>
              <w:ind w:left="800"/>
              <w:spacing w:after="0"/>
              <w:rPr>
                <w:sz w:val="20"/>
                <w:szCs w:val="20"/>
                <w:color w:val="auto"/>
              </w:rPr>
            </w:pPr>
            <w:r>
              <w:rPr>
                <w:rFonts w:ascii="Arial" w:cs="Arial" w:eastAsia="Arial" w:hAnsi="Arial"/>
                <w:sz w:val="20"/>
                <w:szCs w:val="20"/>
                <w:color w:val="2C2C2C"/>
              </w:rPr>
              <w:t>Organic sales change</w:t>
            </w:r>
          </w:p>
        </w:tc>
        <w:tc>
          <w:tcPr>
            <w:tcW w:w="1020" w:type="dxa"/>
            <w:vAlign w:val="bottom"/>
            <w:tcBorders>
              <w:top w:val="single" w:sz="8" w:color="auto"/>
            </w:tcBorders>
          </w:tcPr>
          <w:p>
            <w:pPr>
              <w:jc w:val="center"/>
              <w:ind w:left="241"/>
              <w:spacing w:after="0"/>
              <w:rPr>
                <w:sz w:val="20"/>
                <w:szCs w:val="20"/>
                <w:color w:val="auto"/>
              </w:rPr>
            </w:pPr>
            <w:r>
              <w:rPr>
                <w:rFonts w:ascii="Arial" w:cs="Arial" w:eastAsia="Arial" w:hAnsi="Arial"/>
                <w:sz w:val="20"/>
                <w:szCs w:val="20"/>
                <w:color w:val="2C2C2C"/>
                <w:w w:val="96"/>
              </w:rPr>
              <w:t>4%</w:t>
            </w: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center"/>
              <w:ind w:left="181"/>
              <w:spacing w:after="0"/>
              <w:rPr>
                <w:sz w:val="20"/>
                <w:szCs w:val="20"/>
                <w:color w:val="auto"/>
              </w:rPr>
            </w:pPr>
            <w:r>
              <w:rPr>
                <w:rFonts w:ascii="Arial" w:cs="Arial" w:eastAsia="Arial" w:hAnsi="Arial"/>
                <w:sz w:val="20"/>
                <w:szCs w:val="20"/>
                <w:color w:val="2C2C2C"/>
                <w:w w:val="96"/>
              </w:rPr>
              <w:t>9%</w:t>
            </w: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2C2C2C"/>
                <w:w w:val="96"/>
              </w:rPr>
              <w:t>9%</w:t>
            </w: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center"/>
              <w:ind w:right="161"/>
              <w:spacing w:after="0"/>
              <w:rPr>
                <w:sz w:val="20"/>
                <w:szCs w:val="20"/>
                <w:color w:val="auto"/>
              </w:rPr>
            </w:pPr>
            <w:r>
              <w:rPr>
                <w:rFonts w:ascii="Arial" w:cs="Arial" w:eastAsia="Arial" w:hAnsi="Arial"/>
                <w:sz w:val="20"/>
                <w:szCs w:val="20"/>
                <w:color w:val="2C2C2C"/>
                <w:w w:val="96"/>
              </w:rPr>
              <w:t>7%</w:t>
            </w:r>
          </w:p>
        </w:tc>
        <w:tc>
          <w:tcPr>
            <w:tcW w:w="0" w:type="dxa"/>
            <w:vAlign w:val="bottom"/>
          </w:tcPr>
          <w:p>
            <w:pPr>
              <w:spacing w:after="0"/>
              <w:rPr>
                <w:sz w:val="1"/>
                <w:szCs w:val="1"/>
                <w:color w:val="auto"/>
              </w:rPr>
            </w:pPr>
          </w:p>
        </w:tc>
      </w:tr>
      <w:tr>
        <w:trPr>
          <w:trHeight w:val="272"/>
        </w:trPr>
        <w:tc>
          <w:tcPr>
            <w:tcW w:w="458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gridSpan w:val="6"/>
          </w:tcPr>
          <w:p>
            <w:pPr>
              <w:jc w:val="center"/>
              <w:ind w:left="18"/>
              <w:spacing w:after="0"/>
              <w:rPr>
                <w:sz w:val="20"/>
                <w:szCs w:val="20"/>
                <w:color w:val="auto"/>
              </w:rPr>
            </w:pPr>
            <w:r>
              <w:rPr>
                <w:rFonts w:ascii="Arial" w:cs="Arial" w:eastAsia="Arial" w:hAnsi="Arial"/>
                <w:sz w:val="20"/>
                <w:szCs w:val="20"/>
                <w:color w:val="2C2C2C"/>
                <w:w w:val="98"/>
              </w:rPr>
              <w:t>Nine months ended September 30, 2026</w:t>
            </w: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20" w:type="dxa"/>
            <w:vAlign w:val="bottom"/>
            <w:vMerge w:val="restart"/>
          </w:tcPr>
          <w:p>
            <w:pPr>
              <w:ind w:left="200"/>
              <w:spacing w:after="0"/>
              <w:rPr>
                <w:sz w:val="20"/>
                <w:szCs w:val="20"/>
                <w:color w:val="auto"/>
              </w:rPr>
            </w:pPr>
            <w:r>
              <w:rPr>
                <w:rFonts w:ascii="Arial" w:cs="Arial" w:eastAsia="Arial" w:hAnsi="Arial"/>
                <w:sz w:val="20"/>
                <w:szCs w:val="20"/>
                <w:color w:val="2C2C2C"/>
                <w:w w:val="94"/>
              </w:rPr>
              <w:t>Detection</w:t>
            </w:r>
          </w:p>
        </w:tc>
        <w:tc>
          <w:tcPr>
            <w:tcW w:w="300" w:type="dxa"/>
            <w:vAlign w:val="bottom"/>
          </w:tcPr>
          <w:p>
            <w:pPr>
              <w:spacing w:after="0"/>
              <w:rPr>
                <w:sz w:val="20"/>
                <w:szCs w:val="20"/>
                <w:color w:val="auto"/>
              </w:rPr>
            </w:pPr>
            <w:r>
              <w:rPr>
                <w:rFonts w:ascii="Arial" w:cs="Arial" w:eastAsia="Arial" w:hAnsi="Arial"/>
                <w:sz w:val="13"/>
                <w:szCs w:val="13"/>
                <w:color w:val="2C2C2C"/>
              </w:rPr>
              <w:t>(a)</w:t>
            </w:r>
          </w:p>
        </w:tc>
        <w:tc>
          <w:tcPr>
            <w:tcW w:w="1200" w:type="dxa"/>
            <w:vAlign w:val="bottom"/>
            <w:vMerge w:val="restart"/>
          </w:tcPr>
          <w:p>
            <w:pPr>
              <w:ind w:left="140"/>
              <w:spacing w:after="0"/>
              <w:rPr>
                <w:sz w:val="20"/>
                <w:szCs w:val="20"/>
                <w:color w:val="auto"/>
              </w:rPr>
            </w:pPr>
            <w:r>
              <w:rPr>
                <w:rFonts w:ascii="Arial" w:cs="Arial" w:eastAsia="Arial" w:hAnsi="Arial"/>
                <w:sz w:val="20"/>
                <w:szCs w:val="20"/>
                <w:color w:val="2C2C2C"/>
                <w:w w:val="97"/>
              </w:rPr>
              <w:t>Fire Service</w:t>
            </w:r>
          </w:p>
        </w:tc>
        <w:tc>
          <w:tcPr>
            <w:tcW w:w="280" w:type="dxa"/>
            <w:vAlign w:val="bottom"/>
          </w:tcPr>
          <w:p>
            <w:pPr>
              <w:spacing w:after="0"/>
              <w:rPr>
                <w:sz w:val="20"/>
                <w:szCs w:val="20"/>
                <w:color w:val="auto"/>
              </w:rPr>
            </w:pPr>
            <w:r>
              <w:rPr>
                <w:rFonts w:ascii="Arial" w:cs="Arial" w:eastAsia="Arial" w:hAnsi="Arial"/>
                <w:sz w:val="13"/>
                <w:szCs w:val="13"/>
                <w:color w:val="2C2C2C"/>
              </w:rPr>
              <w:t>(b)</w:t>
            </w:r>
          </w:p>
        </w:tc>
        <w:tc>
          <w:tcPr>
            <w:tcW w:w="1960" w:type="dxa"/>
            <w:vAlign w:val="bottom"/>
            <w:gridSpan w:val="3"/>
          </w:tcPr>
          <w:p>
            <w:pPr>
              <w:jc w:val="center"/>
              <w:ind w:right="440"/>
              <w:spacing w:after="0" w:line="225" w:lineRule="exact"/>
              <w:rPr>
                <w:sz w:val="20"/>
                <w:szCs w:val="20"/>
                <w:color w:val="auto"/>
              </w:rPr>
            </w:pPr>
            <w:r>
              <w:rPr>
                <w:rFonts w:ascii="Arial" w:cs="Arial" w:eastAsia="Arial" w:hAnsi="Arial"/>
                <w:sz w:val="20"/>
                <w:szCs w:val="20"/>
                <w:color w:val="2C2C2C"/>
                <w:w w:val="97"/>
              </w:rPr>
              <w:t>Industrial PPE</w:t>
            </w:r>
          </w:p>
        </w:tc>
        <w:tc>
          <w:tcPr>
            <w:tcW w:w="1140" w:type="dxa"/>
            <w:vAlign w:val="bottom"/>
            <w:vMerge w:val="restart"/>
          </w:tcPr>
          <w:p>
            <w:pPr>
              <w:spacing w:after="0"/>
              <w:rPr>
                <w:sz w:val="20"/>
                <w:szCs w:val="20"/>
                <w:color w:val="auto"/>
              </w:rPr>
            </w:pPr>
            <w:r>
              <w:rPr>
                <w:rFonts w:ascii="Arial" w:cs="Arial" w:eastAsia="Arial" w:hAnsi="Arial"/>
                <w:sz w:val="20"/>
                <w:szCs w:val="20"/>
                <w:color w:val="2C2C2C"/>
              </w:rPr>
              <w:t>Net Sales</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440"/>
              <w:spacing w:after="0" w:line="235" w:lineRule="exact"/>
              <w:rPr>
                <w:sz w:val="20"/>
                <w:szCs w:val="20"/>
                <w:color w:val="auto"/>
              </w:rPr>
            </w:pPr>
            <w:r>
              <w:rPr>
                <w:rFonts w:ascii="Arial" w:cs="Arial" w:eastAsia="Arial" w:hAnsi="Arial"/>
                <w:sz w:val="20"/>
                <w:szCs w:val="20"/>
                <w:color w:val="2C2C2C"/>
                <w:w w:val="95"/>
              </w:rPr>
              <w:t>and Other</w:t>
            </w:r>
            <w:r>
              <w:rPr>
                <w:rFonts w:ascii="Arial" w:cs="Arial" w:eastAsia="Arial" w:hAnsi="Arial"/>
                <w:sz w:val="25"/>
                <w:szCs w:val="25"/>
                <w:color w:val="2C2C2C"/>
                <w:w w:val="95"/>
                <w:vertAlign w:val="superscript"/>
              </w:rPr>
              <w:t>(c)</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580" w:type="dxa"/>
            <w:vAlign w:val="bottom"/>
          </w:tcPr>
          <w:p>
            <w:pPr>
              <w:ind w:left="800"/>
              <w:spacing w:after="0"/>
              <w:rPr>
                <w:sz w:val="20"/>
                <w:szCs w:val="20"/>
                <w:color w:val="auto"/>
              </w:rPr>
            </w:pPr>
            <w:r>
              <w:rPr>
                <w:rFonts w:ascii="Arial" w:cs="Arial" w:eastAsia="Arial" w:hAnsi="Arial"/>
                <w:sz w:val="20"/>
                <w:szCs w:val="20"/>
                <w:color w:val="2C2C2C"/>
              </w:rPr>
              <w:t>GAAP reported sales change</w:t>
            </w:r>
          </w:p>
        </w:tc>
        <w:tc>
          <w:tcPr>
            <w:tcW w:w="1020" w:type="dxa"/>
            <w:vAlign w:val="bottom"/>
          </w:tcPr>
          <w:p>
            <w:pPr>
              <w:jc w:val="center"/>
              <w:ind w:left="241"/>
              <w:spacing w:after="0"/>
              <w:rPr>
                <w:sz w:val="20"/>
                <w:szCs w:val="20"/>
                <w:color w:val="auto"/>
              </w:rPr>
            </w:pPr>
            <w:r>
              <w:rPr>
                <w:rFonts w:ascii="Arial" w:cs="Arial" w:eastAsia="Arial" w:hAnsi="Arial"/>
                <w:sz w:val="20"/>
                <w:szCs w:val="20"/>
                <w:color w:val="2C2C2C"/>
                <w:w w:val="96"/>
              </w:rPr>
              <w:t>9%</w:t>
            </w:r>
          </w:p>
        </w:tc>
        <w:tc>
          <w:tcPr>
            <w:tcW w:w="300" w:type="dxa"/>
            <w:vAlign w:val="bottom"/>
          </w:tcPr>
          <w:p>
            <w:pPr>
              <w:spacing w:after="0"/>
              <w:rPr>
                <w:sz w:val="22"/>
                <w:szCs w:val="22"/>
                <w:color w:val="auto"/>
              </w:rPr>
            </w:pPr>
          </w:p>
        </w:tc>
        <w:tc>
          <w:tcPr>
            <w:tcW w:w="1200" w:type="dxa"/>
            <w:vAlign w:val="bottom"/>
          </w:tcPr>
          <w:p>
            <w:pPr>
              <w:jc w:val="center"/>
              <w:ind w:left="181"/>
              <w:spacing w:after="0"/>
              <w:rPr>
                <w:sz w:val="20"/>
                <w:szCs w:val="20"/>
                <w:color w:val="auto"/>
              </w:rPr>
            </w:pPr>
            <w:r>
              <w:rPr>
                <w:rFonts w:ascii="Arial" w:cs="Arial" w:eastAsia="Arial" w:hAnsi="Arial"/>
                <w:sz w:val="20"/>
                <w:szCs w:val="20"/>
                <w:color w:val="2C2C2C"/>
                <w:w w:val="96"/>
              </w:rPr>
              <w:t>5%</w:t>
            </w:r>
          </w:p>
        </w:tc>
        <w:tc>
          <w:tcPr>
            <w:tcW w:w="2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12%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161"/>
              <w:spacing w:after="0"/>
              <w:rPr>
                <w:sz w:val="20"/>
                <w:szCs w:val="20"/>
                <w:color w:val="auto"/>
              </w:rPr>
            </w:pPr>
            <w:r>
              <w:rPr>
                <w:rFonts w:ascii="Arial" w:cs="Arial" w:eastAsia="Arial" w:hAnsi="Arial"/>
                <w:sz w:val="20"/>
                <w:szCs w:val="20"/>
                <w:color w:val="2C2C2C"/>
                <w:w w:val="96"/>
              </w:rPr>
              <w:t>8%</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Currency translation effects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w w:val="99"/>
              </w:rPr>
              <w:t>(1)%</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(3)%</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w w:val="99"/>
              </w:rPr>
              <w:t>(1)%</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Less: Acquisitions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w w:val="99"/>
              </w:rPr>
              <w:t>(2)%</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20"/>
                <w:szCs w:val="20"/>
                <w:color w:val="2C2C2C"/>
                <w:w w:val="95"/>
              </w:rPr>
              <w:t>—%</w:t>
            </w:r>
          </w:p>
        </w:tc>
        <w:tc>
          <w:tcPr>
            <w:tcW w:w="1140" w:type="dxa"/>
            <w:vAlign w:val="bottom"/>
          </w:tcPr>
          <w:p>
            <w:pPr>
              <w:jc w:val="center"/>
              <w:ind w:right="181"/>
              <w:spacing w:after="0"/>
              <w:rPr>
                <w:sz w:val="20"/>
                <w:szCs w:val="20"/>
                <w:color w:val="auto"/>
              </w:rPr>
            </w:pPr>
            <w:r>
              <w:rPr>
                <w:rFonts w:ascii="Arial" w:cs="Arial" w:eastAsia="Arial" w:hAnsi="Arial"/>
                <w:sz w:val="20"/>
                <w:szCs w:val="20"/>
                <w:color w:val="2C2C2C"/>
                <w:w w:val="99"/>
              </w:rPr>
              <w:t>(1)%</w:t>
            </w:r>
          </w:p>
        </w:tc>
        <w:tc>
          <w:tcPr>
            <w:tcW w:w="0" w:type="dxa"/>
            <w:vAlign w:val="bottom"/>
          </w:tcPr>
          <w:p>
            <w:pPr>
              <w:spacing w:after="0"/>
              <w:rPr>
                <w:sz w:val="1"/>
                <w:szCs w:val="1"/>
                <w:color w:val="auto"/>
              </w:rPr>
            </w:pPr>
          </w:p>
        </w:tc>
      </w:tr>
      <w:tr>
        <w:trPr>
          <w:trHeight w:val="264"/>
        </w:trPr>
        <w:tc>
          <w:tcPr>
            <w:tcW w:w="4580" w:type="dxa"/>
            <w:vAlign w:val="bottom"/>
          </w:tcPr>
          <w:p>
            <w:pPr>
              <w:ind w:left="800"/>
              <w:spacing w:after="0"/>
              <w:rPr>
                <w:sz w:val="20"/>
                <w:szCs w:val="20"/>
                <w:color w:val="auto"/>
              </w:rPr>
            </w:pPr>
            <w:r>
              <w:rPr>
                <w:rFonts w:ascii="Arial" w:cs="Arial" w:eastAsia="Arial" w:hAnsi="Arial"/>
                <w:sz w:val="20"/>
                <w:szCs w:val="20"/>
                <w:color w:val="2C2C2C"/>
              </w:rPr>
              <w:t>Organic sales change</w:t>
            </w:r>
          </w:p>
        </w:tc>
        <w:tc>
          <w:tcPr>
            <w:tcW w:w="1020" w:type="dxa"/>
            <w:vAlign w:val="bottom"/>
            <w:tcBorders>
              <w:top w:val="single" w:sz="8" w:color="auto"/>
            </w:tcBorders>
          </w:tcPr>
          <w:p>
            <w:pPr>
              <w:jc w:val="center"/>
              <w:ind w:left="241"/>
              <w:spacing w:after="0"/>
              <w:rPr>
                <w:sz w:val="20"/>
                <w:szCs w:val="20"/>
                <w:color w:val="auto"/>
              </w:rPr>
            </w:pPr>
            <w:r>
              <w:rPr>
                <w:rFonts w:ascii="Arial" w:cs="Arial" w:eastAsia="Arial" w:hAnsi="Arial"/>
                <w:sz w:val="20"/>
                <w:szCs w:val="20"/>
                <w:color w:val="2C2C2C"/>
                <w:w w:val="96"/>
              </w:rPr>
              <w:t>6%</w:t>
            </w: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center"/>
              <w:ind w:left="181"/>
              <w:spacing w:after="0"/>
              <w:rPr>
                <w:sz w:val="20"/>
                <w:szCs w:val="20"/>
                <w:color w:val="auto"/>
              </w:rPr>
            </w:pPr>
            <w:r>
              <w:rPr>
                <w:rFonts w:ascii="Arial" w:cs="Arial" w:eastAsia="Arial" w:hAnsi="Arial"/>
                <w:sz w:val="20"/>
                <w:szCs w:val="20"/>
                <w:color w:val="2C2C2C"/>
                <w:w w:val="96"/>
              </w:rPr>
              <w:t>5%</w:t>
            </w: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2C2C2C"/>
                <w:w w:val="96"/>
              </w:rPr>
              <w:t>9%</w:t>
            </w: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center"/>
              <w:ind w:right="161"/>
              <w:spacing w:after="0"/>
              <w:rPr>
                <w:sz w:val="20"/>
                <w:szCs w:val="20"/>
                <w:color w:val="auto"/>
              </w:rPr>
            </w:pPr>
            <w:r>
              <w:rPr>
                <w:rFonts w:ascii="Arial" w:cs="Arial" w:eastAsia="Arial" w:hAnsi="Arial"/>
                <w:sz w:val="20"/>
                <w:szCs w:val="20"/>
                <w:color w:val="2C2C2C"/>
                <w:w w:val="96"/>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40"/>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0480"/>
          </w:cols>
          <w:pgMar w:left="320" w:top="127" w:right="10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22"/>
          <w:szCs w:val="22"/>
          <w:color w:val="242424"/>
        </w:rPr>
        <w:t>9</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80" w:type="dxa"/>
            <w:vAlign w:val="bottom"/>
          </w:tcPr>
          <w:p>
            <w:pPr>
              <w:spacing w:after="0"/>
              <w:rPr>
                <w:sz w:val="20"/>
                <w:szCs w:val="20"/>
                <w:color w:val="auto"/>
              </w:rPr>
            </w:pPr>
            <w:r>
              <w:rPr>
                <w:rFonts w:ascii="Arial" w:cs="Arial" w:eastAsia="Arial" w:hAnsi="Arial"/>
                <w:sz w:val="20"/>
                <w:szCs w:val="20"/>
                <w:color w:val="2C2C2C"/>
              </w:rPr>
              <w:t>International Segment</w:t>
            </w: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4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7"/>
          </w:tcPr>
          <w:p>
            <w:pPr>
              <w:jc w:val="center"/>
              <w:ind w:right="941"/>
              <w:spacing w:after="0"/>
              <w:rPr>
                <w:sz w:val="20"/>
                <w:szCs w:val="20"/>
                <w:color w:val="auto"/>
              </w:rPr>
            </w:pPr>
            <w:r>
              <w:rPr>
                <w:rFonts w:ascii="Arial" w:cs="Arial" w:eastAsia="Arial" w:hAnsi="Arial"/>
                <w:sz w:val="20"/>
                <w:szCs w:val="20"/>
                <w:color w:val="2C2C2C"/>
                <w:w w:val="98"/>
              </w:rPr>
              <w:t>Three Months Ended September 30, 2026</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18"/>
                <w:szCs w:val="18"/>
                <w:color w:val="auto"/>
              </w:rPr>
            </w:pPr>
          </w:p>
        </w:tc>
        <w:tc>
          <w:tcPr>
            <w:tcW w:w="1020" w:type="dxa"/>
            <w:vAlign w:val="bottom"/>
            <w:vMerge w:val="restart"/>
          </w:tcPr>
          <w:p>
            <w:pPr>
              <w:ind w:left="200"/>
              <w:spacing w:after="0"/>
              <w:rPr>
                <w:sz w:val="20"/>
                <w:szCs w:val="20"/>
                <w:color w:val="auto"/>
              </w:rPr>
            </w:pPr>
            <w:r>
              <w:rPr>
                <w:rFonts w:ascii="Arial" w:cs="Arial" w:eastAsia="Arial" w:hAnsi="Arial"/>
                <w:sz w:val="20"/>
                <w:szCs w:val="20"/>
                <w:color w:val="2C2C2C"/>
                <w:w w:val="94"/>
              </w:rPr>
              <w:t>Detection</w:t>
            </w:r>
          </w:p>
        </w:tc>
        <w:tc>
          <w:tcPr>
            <w:tcW w:w="300" w:type="dxa"/>
            <w:vAlign w:val="bottom"/>
          </w:tcPr>
          <w:p>
            <w:pPr>
              <w:spacing w:after="0"/>
              <w:rPr>
                <w:sz w:val="20"/>
                <w:szCs w:val="20"/>
                <w:color w:val="auto"/>
              </w:rPr>
            </w:pPr>
            <w:r>
              <w:rPr>
                <w:rFonts w:ascii="Arial" w:cs="Arial" w:eastAsia="Arial" w:hAnsi="Arial"/>
                <w:sz w:val="13"/>
                <w:szCs w:val="13"/>
                <w:color w:val="2C2C2C"/>
              </w:rPr>
              <w:t>(a)</w:t>
            </w:r>
          </w:p>
        </w:tc>
        <w:tc>
          <w:tcPr>
            <w:tcW w:w="1200" w:type="dxa"/>
            <w:vAlign w:val="bottom"/>
            <w:vMerge w:val="restart"/>
          </w:tcPr>
          <w:p>
            <w:pPr>
              <w:ind w:left="140"/>
              <w:spacing w:after="0"/>
              <w:rPr>
                <w:sz w:val="20"/>
                <w:szCs w:val="20"/>
                <w:color w:val="auto"/>
              </w:rPr>
            </w:pPr>
            <w:r>
              <w:rPr>
                <w:rFonts w:ascii="Arial" w:cs="Arial" w:eastAsia="Arial" w:hAnsi="Arial"/>
                <w:sz w:val="20"/>
                <w:szCs w:val="20"/>
                <w:color w:val="2C2C2C"/>
                <w:w w:val="97"/>
              </w:rPr>
              <w:t>Fire Service</w:t>
            </w:r>
          </w:p>
        </w:tc>
        <w:tc>
          <w:tcPr>
            <w:tcW w:w="280" w:type="dxa"/>
            <w:vAlign w:val="bottom"/>
          </w:tcPr>
          <w:p>
            <w:pPr>
              <w:spacing w:after="0"/>
              <w:rPr>
                <w:sz w:val="20"/>
                <w:szCs w:val="20"/>
                <w:color w:val="auto"/>
              </w:rPr>
            </w:pPr>
            <w:r>
              <w:rPr>
                <w:rFonts w:ascii="Arial" w:cs="Arial" w:eastAsia="Arial" w:hAnsi="Arial"/>
                <w:sz w:val="13"/>
                <w:szCs w:val="13"/>
                <w:color w:val="2C2C2C"/>
              </w:rPr>
              <w:t>(b)</w:t>
            </w:r>
          </w:p>
        </w:tc>
        <w:tc>
          <w:tcPr>
            <w:tcW w:w="1940" w:type="dxa"/>
            <w:vAlign w:val="bottom"/>
            <w:gridSpan w:val="3"/>
          </w:tcPr>
          <w:p>
            <w:pPr>
              <w:jc w:val="center"/>
              <w:ind w:right="420"/>
              <w:spacing w:after="0" w:line="211" w:lineRule="exact"/>
              <w:rPr>
                <w:sz w:val="20"/>
                <w:szCs w:val="20"/>
                <w:color w:val="auto"/>
              </w:rPr>
            </w:pPr>
            <w:r>
              <w:rPr>
                <w:rFonts w:ascii="Arial" w:cs="Arial" w:eastAsia="Arial" w:hAnsi="Arial"/>
                <w:sz w:val="20"/>
                <w:szCs w:val="20"/>
                <w:color w:val="2C2C2C"/>
                <w:w w:val="97"/>
              </w:rPr>
              <w:t>Industrial PPE</w:t>
            </w:r>
          </w:p>
        </w:tc>
        <w:tc>
          <w:tcPr>
            <w:tcW w:w="1160" w:type="dxa"/>
            <w:vAlign w:val="bottom"/>
            <w:vMerge w:val="restart"/>
          </w:tcPr>
          <w:p>
            <w:pPr>
              <w:ind w:left="20"/>
              <w:spacing w:after="0"/>
              <w:rPr>
                <w:sz w:val="20"/>
                <w:szCs w:val="20"/>
                <w:color w:val="auto"/>
              </w:rPr>
            </w:pPr>
            <w:r>
              <w:rPr>
                <w:rFonts w:ascii="Arial" w:cs="Arial" w:eastAsia="Arial" w:hAnsi="Arial"/>
                <w:sz w:val="20"/>
                <w:szCs w:val="20"/>
                <w:color w:val="2C2C2C"/>
              </w:rPr>
              <w:t>Net Sales</w:t>
            </w:r>
          </w:p>
        </w:tc>
        <w:tc>
          <w:tcPr>
            <w:tcW w:w="0" w:type="dxa"/>
            <w:vAlign w:val="bottom"/>
          </w:tcPr>
          <w:p>
            <w:pPr>
              <w:spacing w:after="0"/>
              <w:rPr>
                <w:sz w:val="1"/>
                <w:szCs w:val="1"/>
                <w:color w:val="auto"/>
              </w:rPr>
            </w:pPr>
          </w:p>
        </w:tc>
      </w:tr>
      <w:tr>
        <w:trPr>
          <w:trHeight w:val="248"/>
        </w:trPr>
        <w:tc>
          <w:tcPr>
            <w:tcW w:w="45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3"/>
          </w:tcPr>
          <w:p>
            <w:pPr>
              <w:jc w:val="center"/>
              <w:ind w:right="420"/>
              <w:spacing w:after="0" w:line="248" w:lineRule="exact"/>
              <w:rPr>
                <w:sz w:val="20"/>
                <w:szCs w:val="20"/>
                <w:color w:val="auto"/>
              </w:rPr>
            </w:pPr>
            <w:r>
              <w:rPr>
                <w:rFonts w:ascii="Arial" w:cs="Arial" w:eastAsia="Arial" w:hAnsi="Arial"/>
                <w:sz w:val="20"/>
                <w:szCs w:val="20"/>
                <w:color w:val="2C2C2C"/>
                <w:w w:val="95"/>
              </w:rPr>
              <w:t>and Other</w:t>
            </w:r>
            <w:r>
              <w:rPr>
                <w:rFonts w:ascii="Arial" w:cs="Arial" w:eastAsia="Arial" w:hAnsi="Arial"/>
                <w:sz w:val="25"/>
                <w:szCs w:val="25"/>
                <w:color w:val="2C2C2C"/>
                <w:w w:val="95"/>
                <w:vertAlign w:val="superscript"/>
              </w:rPr>
              <w:t>(c)</w:t>
            </w: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580" w:type="dxa"/>
            <w:vAlign w:val="bottom"/>
          </w:tcPr>
          <w:p>
            <w:pPr>
              <w:ind w:left="800"/>
              <w:spacing w:after="0"/>
              <w:rPr>
                <w:sz w:val="20"/>
                <w:szCs w:val="20"/>
                <w:color w:val="auto"/>
              </w:rPr>
            </w:pPr>
            <w:r>
              <w:rPr>
                <w:rFonts w:ascii="Arial" w:cs="Arial" w:eastAsia="Arial" w:hAnsi="Arial"/>
                <w:sz w:val="20"/>
                <w:szCs w:val="20"/>
                <w:color w:val="2C2C2C"/>
              </w:rPr>
              <w:t>GAAP reported sales change</w:t>
            </w:r>
          </w:p>
        </w:tc>
        <w:tc>
          <w:tcPr>
            <w:tcW w:w="1020" w:type="dxa"/>
            <w:vAlign w:val="bottom"/>
          </w:tcPr>
          <w:p>
            <w:pPr>
              <w:jc w:val="center"/>
              <w:ind w:left="241"/>
              <w:spacing w:after="0"/>
              <w:rPr>
                <w:sz w:val="20"/>
                <w:szCs w:val="20"/>
                <w:color w:val="auto"/>
              </w:rPr>
            </w:pPr>
            <w:r>
              <w:rPr>
                <w:rFonts w:ascii="Arial" w:cs="Arial" w:eastAsia="Arial" w:hAnsi="Arial"/>
                <w:sz w:val="20"/>
                <w:szCs w:val="20"/>
                <w:color w:val="2C2C2C"/>
                <w:w w:val="99"/>
              </w:rPr>
              <w:t>55%</w:t>
            </w:r>
          </w:p>
        </w:tc>
        <w:tc>
          <w:tcPr>
            <w:tcW w:w="300" w:type="dxa"/>
            <w:vAlign w:val="bottom"/>
          </w:tcPr>
          <w:p>
            <w:pPr>
              <w:spacing w:after="0"/>
              <w:rPr>
                <w:sz w:val="22"/>
                <w:szCs w:val="22"/>
                <w:color w:val="auto"/>
              </w:rPr>
            </w:pPr>
          </w:p>
        </w:tc>
        <w:tc>
          <w:tcPr>
            <w:tcW w:w="1200" w:type="dxa"/>
            <w:vAlign w:val="bottom"/>
          </w:tcPr>
          <w:p>
            <w:pPr>
              <w:jc w:val="center"/>
              <w:ind w:left="181"/>
              <w:spacing w:after="0"/>
              <w:rPr>
                <w:sz w:val="20"/>
                <w:szCs w:val="20"/>
                <w:color w:val="auto"/>
              </w:rPr>
            </w:pPr>
            <w:r>
              <w:rPr>
                <w:rFonts w:ascii="Arial" w:cs="Arial" w:eastAsia="Arial" w:hAnsi="Arial"/>
                <w:sz w:val="20"/>
                <w:szCs w:val="20"/>
                <w:color w:val="2C2C2C"/>
                <w:w w:val="99"/>
              </w:rPr>
              <w:t>10%</w:t>
            </w:r>
          </w:p>
        </w:tc>
        <w:tc>
          <w:tcPr>
            <w:tcW w:w="2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6"/>
              </w:rPr>
              <w:t>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center"/>
              <w:ind w:right="141"/>
              <w:spacing w:after="0"/>
              <w:rPr>
                <w:sz w:val="20"/>
                <w:szCs w:val="20"/>
                <w:color w:val="auto"/>
              </w:rPr>
            </w:pPr>
            <w:r>
              <w:rPr>
                <w:rFonts w:ascii="Arial" w:cs="Arial" w:eastAsia="Arial" w:hAnsi="Arial"/>
                <w:sz w:val="20"/>
                <w:szCs w:val="20"/>
                <w:color w:val="2C2C2C"/>
                <w:w w:val="99"/>
              </w:rPr>
              <w:t>28%</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Currency translation effects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rPr>
              <w:t>—%</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center"/>
              <w:ind w:right="161"/>
              <w:spacing w:after="0"/>
              <w:rPr>
                <w:sz w:val="20"/>
                <w:szCs w:val="20"/>
                <w:color w:val="auto"/>
              </w:rPr>
            </w:pPr>
            <w:r>
              <w:rPr>
                <w:rFonts w:ascii="Arial" w:cs="Arial" w:eastAsia="Arial" w:hAnsi="Arial"/>
                <w:sz w:val="20"/>
                <w:szCs w:val="20"/>
                <w:color w:val="2C2C2C"/>
              </w:rPr>
              <w:t>—%</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Less: Acquisitions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rPr>
              <w:t>(59)%</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20"/>
                <w:szCs w:val="20"/>
                <w:color w:val="2C2C2C"/>
                <w:w w:val="95"/>
              </w:rPr>
              <w:t>—%</w:t>
            </w:r>
          </w:p>
        </w:tc>
        <w:tc>
          <w:tcPr>
            <w:tcW w:w="1160" w:type="dxa"/>
            <w:vAlign w:val="bottom"/>
          </w:tcPr>
          <w:p>
            <w:pPr>
              <w:jc w:val="center"/>
              <w:ind w:right="141"/>
              <w:spacing w:after="0"/>
              <w:rPr>
                <w:sz w:val="20"/>
                <w:szCs w:val="20"/>
                <w:color w:val="auto"/>
              </w:rPr>
            </w:pPr>
            <w:r>
              <w:rPr>
                <w:rFonts w:ascii="Arial" w:cs="Arial" w:eastAsia="Arial" w:hAnsi="Arial"/>
                <w:sz w:val="20"/>
                <w:szCs w:val="20"/>
                <w:color w:val="2C2C2C"/>
                <w:w w:val="97"/>
              </w:rPr>
              <w:t>(26)%</w:t>
            </w:r>
          </w:p>
        </w:tc>
        <w:tc>
          <w:tcPr>
            <w:tcW w:w="0" w:type="dxa"/>
            <w:vAlign w:val="bottom"/>
          </w:tcPr>
          <w:p>
            <w:pPr>
              <w:spacing w:after="0"/>
              <w:rPr>
                <w:sz w:val="1"/>
                <w:szCs w:val="1"/>
                <w:color w:val="auto"/>
              </w:rPr>
            </w:pPr>
          </w:p>
        </w:tc>
      </w:tr>
      <w:tr>
        <w:trPr>
          <w:trHeight w:val="263"/>
        </w:trPr>
        <w:tc>
          <w:tcPr>
            <w:tcW w:w="4580" w:type="dxa"/>
            <w:vAlign w:val="bottom"/>
          </w:tcPr>
          <w:p>
            <w:pPr>
              <w:ind w:left="800"/>
              <w:spacing w:after="0"/>
              <w:rPr>
                <w:sz w:val="20"/>
                <w:szCs w:val="20"/>
                <w:color w:val="auto"/>
              </w:rPr>
            </w:pPr>
            <w:r>
              <w:rPr>
                <w:rFonts w:ascii="Arial" w:cs="Arial" w:eastAsia="Arial" w:hAnsi="Arial"/>
                <w:sz w:val="20"/>
                <w:szCs w:val="20"/>
                <w:color w:val="2C2C2C"/>
              </w:rPr>
              <w:t>Organic sales change</w:t>
            </w:r>
          </w:p>
        </w:tc>
        <w:tc>
          <w:tcPr>
            <w:tcW w:w="1020" w:type="dxa"/>
            <w:vAlign w:val="bottom"/>
            <w:tcBorders>
              <w:top w:val="single" w:sz="8" w:color="auto"/>
            </w:tcBorders>
          </w:tcPr>
          <w:p>
            <w:pPr>
              <w:jc w:val="center"/>
              <w:ind w:left="261"/>
              <w:spacing w:after="0"/>
              <w:rPr>
                <w:sz w:val="20"/>
                <w:szCs w:val="20"/>
                <w:color w:val="auto"/>
              </w:rPr>
            </w:pPr>
            <w:r>
              <w:rPr>
                <w:rFonts w:ascii="Arial" w:cs="Arial" w:eastAsia="Arial" w:hAnsi="Arial"/>
                <w:sz w:val="20"/>
                <w:szCs w:val="20"/>
                <w:color w:val="2C2C2C"/>
                <w:w w:val="99"/>
              </w:rPr>
              <w:t>(4)%</w:t>
            </w: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center"/>
              <w:ind w:left="181"/>
              <w:spacing w:after="0"/>
              <w:rPr>
                <w:sz w:val="20"/>
                <w:szCs w:val="20"/>
                <w:color w:val="auto"/>
              </w:rPr>
            </w:pPr>
            <w:r>
              <w:rPr>
                <w:rFonts w:ascii="Arial" w:cs="Arial" w:eastAsia="Arial" w:hAnsi="Arial"/>
                <w:sz w:val="20"/>
                <w:szCs w:val="20"/>
                <w:color w:val="2C2C2C"/>
                <w:w w:val="99"/>
              </w:rPr>
              <w:t>10%</w:t>
            </w: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2C2C2C"/>
                <w:w w:val="96"/>
              </w:rPr>
              <w:t>3%</w:t>
            </w: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41"/>
              <w:spacing w:after="0"/>
              <w:rPr>
                <w:sz w:val="20"/>
                <w:szCs w:val="20"/>
                <w:color w:val="auto"/>
              </w:rPr>
            </w:pPr>
            <w:r>
              <w:rPr>
                <w:rFonts w:ascii="Arial" w:cs="Arial" w:eastAsia="Arial" w:hAnsi="Arial"/>
                <w:sz w:val="20"/>
                <w:szCs w:val="20"/>
                <w:color w:val="2C2C2C"/>
                <w:w w:val="96"/>
              </w:rPr>
              <w:t>2%</w:t>
            </w:r>
          </w:p>
        </w:tc>
        <w:tc>
          <w:tcPr>
            <w:tcW w:w="0" w:type="dxa"/>
            <w:vAlign w:val="bottom"/>
          </w:tcPr>
          <w:p>
            <w:pPr>
              <w:spacing w:after="0"/>
              <w:rPr>
                <w:sz w:val="1"/>
                <w:szCs w:val="1"/>
                <w:color w:val="auto"/>
              </w:rPr>
            </w:pPr>
          </w:p>
        </w:tc>
      </w:tr>
      <w:tr>
        <w:trPr>
          <w:trHeight w:val="272"/>
        </w:trPr>
        <w:tc>
          <w:tcPr>
            <w:tcW w:w="458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6"/>
          </w:tcPr>
          <w:p>
            <w:pPr>
              <w:jc w:val="center"/>
              <w:ind w:left="38"/>
              <w:spacing w:after="0"/>
              <w:rPr>
                <w:sz w:val="20"/>
                <w:szCs w:val="20"/>
                <w:color w:val="auto"/>
              </w:rPr>
            </w:pPr>
            <w:r>
              <w:rPr>
                <w:rFonts w:ascii="Arial" w:cs="Arial" w:eastAsia="Arial" w:hAnsi="Arial"/>
                <w:sz w:val="20"/>
                <w:szCs w:val="20"/>
                <w:color w:val="2C2C2C"/>
                <w:w w:val="98"/>
              </w:rPr>
              <w:t>Nine months ended September 30, 2026</w:t>
            </w: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580" w:type="dxa"/>
            <w:vAlign w:val="bottom"/>
          </w:tcPr>
          <w:p>
            <w:pPr>
              <w:spacing w:after="0"/>
              <w:rPr>
                <w:sz w:val="18"/>
                <w:szCs w:val="18"/>
                <w:color w:val="auto"/>
              </w:rPr>
            </w:pPr>
          </w:p>
        </w:tc>
        <w:tc>
          <w:tcPr>
            <w:tcW w:w="1020" w:type="dxa"/>
            <w:vAlign w:val="bottom"/>
            <w:vMerge w:val="restart"/>
          </w:tcPr>
          <w:p>
            <w:pPr>
              <w:ind w:left="200"/>
              <w:spacing w:after="0"/>
              <w:rPr>
                <w:sz w:val="20"/>
                <w:szCs w:val="20"/>
                <w:color w:val="auto"/>
              </w:rPr>
            </w:pPr>
            <w:r>
              <w:rPr>
                <w:rFonts w:ascii="Arial" w:cs="Arial" w:eastAsia="Arial" w:hAnsi="Arial"/>
                <w:sz w:val="20"/>
                <w:szCs w:val="20"/>
                <w:color w:val="2C2C2C"/>
                <w:w w:val="94"/>
              </w:rPr>
              <w:t>Detection</w:t>
            </w:r>
          </w:p>
        </w:tc>
        <w:tc>
          <w:tcPr>
            <w:tcW w:w="300" w:type="dxa"/>
            <w:vAlign w:val="bottom"/>
          </w:tcPr>
          <w:p>
            <w:pPr>
              <w:spacing w:after="0"/>
              <w:rPr>
                <w:sz w:val="20"/>
                <w:szCs w:val="20"/>
                <w:color w:val="auto"/>
              </w:rPr>
            </w:pPr>
            <w:r>
              <w:rPr>
                <w:rFonts w:ascii="Arial" w:cs="Arial" w:eastAsia="Arial" w:hAnsi="Arial"/>
                <w:sz w:val="13"/>
                <w:szCs w:val="13"/>
                <w:color w:val="2C2C2C"/>
              </w:rPr>
              <w:t>(a)</w:t>
            </w:r>
          </w:p>
        </w:tc>
        <w:tc>
          <w:tcPr>
            <w:tcW w:w="1200" w:type="dxa"/>
            <w:vAlign w:val="bottom"/>
            <w:vMerge w:val="restart"/>
          </w:tcPr>
          <w:p>
            <w:pPr>
              <w:ind w:left="140"/>
              <w:spacing w:after="0"/>
              <w:rPr>
                <w:sz w:val="20"/>
                <w:szCs w:val="20"/>
                <w:color w:val="auto"/>
              </w:rPr>
            </w:pPr>
            <w:r>
              <w:rPr>
                <w:rFonts w:ascii="Arial" w:cs="Arial" w:eastAsia="Arial" w:hAnsi="Arial"/>
                <w:sz w:val="20"/>
                <w:szCs w:val="20"/>
                <w:color w:val="2C2C2C"/>
                <w:w w:val="97"/>
              </w:rPr>
              <w:t>Fire Service</w:t>
            </w:r>
          </w:p>
        </w:tc>
        <w:tc>
          <w:tcPr>
            <w:tcW w:w="280" w:type="dxa"/>
            <w:vAlign w:val="bottom"/>
          </w:tcPr>
          <w:p>
            <w:pPr>
              <w:spacing w:after="0"/>
              <w:rPr>
                <w:sz w:val="20"/>
                <w:szCs w:val="20"/>
                <w:color w:val="auto"/>
              </w:rPr>
            </w:pPr>
            <w:r>
              <w:rPr>
                <w:rFonts w:ascii="Arial" w:cs="Arial" w:eastAsia="Arial" w:hAnsi="Arial"/>
                <w:sz w:val="13"/>
                <w:szCs w:val="13"/>
                <w:color w:val="2C2C2C"/>
              </w:rPr>
              <w:t>(b)</w:t>
            </w:r>
          </w:p>
        </w:tc>
        <w:tc>
          <w:tcPr>
            <w:tcW w:w="1940" w:type="dxa"/>
            <w:vAlign w:val="bottom"/>
            <w:gridSpan w:val="3"/>
          </w:tcPr>
          <w:p>
            <w:pPr>
              <w:jc w:val="center"/>
              <w:ind w:right="420"/>
              <w:spacing w:after="0" w:line="211" w:lineRule="exact"/>
              <w:rPr>
                <w:sz w:val="20"/>
                <w:szCs w:val="20"/>
                <w:color w:val="auto"/>
              </w:rPr>
            </w:pPr>
            <w:r>
              <w:rPr>
                <w:rFonts w:ascii="Arial" w:cs="Arial" w:eastAsia="Arial" w:hAnsi="Arial"/>
                <w:sz w:val="20"/>
                <w:szCs w:val="20"/>
                <w:color w:val="2C2C2C"/>
                <w:w w:val="97"/>
              </w:rPr>
              <w:t>Industrial PPE</w:t>
            </w:r>
          </w:p>
        </w:tc>
        <w:tc>
          <w:tcPr>
            <w:tcW w:w="1160" w:type="dxa"/>
            <w:vAlign w:val="bottom"/>
            <w:vMerge w:val="restart"/>
          </w:tcPr>
          <w:p>
            <w:pPr>
              <w:ind w:left="20"/>
              <w:spacing w:after="0"/>
              <w:rPr>
                <w:sz w:val="20"/>
                <w:szCs w:val="20"/>
                <w:color w:val="auto"/>
              </w:rPr>
            </w:pPr>
            <w:r>
              <w:rPr>
                <w:rFonts w:ascii="Arial" w:cs="Arial" w:eastAsia="Arial" w:hAnsi="Arial"/>
                <w:sz w:val="20"/>
                <w:szCs w:val="20"/>
                <w:color w:val="2C2C2C"/>
              </w:rPr>
              <w:t>Net Sales</w:t>
            </w:r>
          </w:p>
        </w:tc>
        <w:tc>
          <w:tcPr>
            <w:tcW w:w="0" w:type="dxa"/>
            <w:vAlign w:val="bottom"/>
          </w:tcPr>
          <w:p>
            <w:pPr>
              <w:spacing w:after="0"/>
              <w:rPr>
                <w:sz w:val="1"/>
                <w:szCs w:val="1"/>
                <w:color w:val="auto"/>
              </w:rPr>
            </w:pPr>
          </w:p>
        </w:tc>
      </w:tr>
      <w:tr>
        <w:trPr>
          <w:trHeight w:val="248"/>
        </w:trPr>
        <w:tc>
          <w:tcPr>
            <w:tcW w:w="45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3"/>
          </w:tcPr>
          <w:p>
            <w:pPr>
              <w:jc w:val="center"/>
              <w:ind w:right="420"/>
              <w:spacing w:after="0" w:line="248" w:lineRule="exact"/>
              <w:rPr>
                <w:sz w:val="20"/>
                <w:szCs w:val="20"/>
                <w:color w:val="auto"/>
              </w:rPr>
            </w:pPr>
            <w:r>
              <w:rPr>
                <w:rFonts w:ascii="Arial" w:cs="Arial" w:eastAsia="Arial" w:hAnsi="Arial"/>
                <w:sz w:val="20"/>
                <w:szCs w:val="20"/>
                <w:color w:val="2C2C2C"/>
                <w:w w:val="95"/>
              </w:rPr>
              <w:t>and Other</w:t>
            </w:r>
            <w:r>
              <w:rPr>
                <w:rFonts w:ascii="Arial" w:cs="Arial" w:eastAsia="Arial" w:hAnsi="Arial"/>
                <w:sz w:val="25"/>
                <w:szCs w:val="25"/>
                <w:color w:val="2C2C2C"/>
                <w:w w:val="95"/>
                <w:vertAlign w:val="superscript"/>
              </w:rPr>
              <w:t>(c)</w:t>
            </w: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580" w:type="dxa"/>
            <w:vAlign w:val="bottom"/>
          </w:tcPr>
          <w:p>
            <w:pPr>
              <w:ind w:left="800"/>
              <w:spacing w:after="0"/>
              <w:rPr>
                <w:sz w:val="20"/>
                <w:szCs w:val="20"/>
                <w:color w:val="auto"/>
              </w:rPr>
            </w:pPr>
            <w:r>
              <w:rPr>
                <w:rFonts w:ascii="Arial" w:cs="Arial" w:eastAsia="Arial" w:hAnsi="Arial"/>
                <w:sz w:val="20"/>
                <w:szCs w:val="20"/>
                <w:color w:val="2C2C2C"/>
              </w:rPr>
              <w:t>GAAP reported sales change</w:t>
            </w:r>
          </w:p>
        </w:tc>
        <w:tc>
          <w:tcPr>
            <w:tcW w:w="1020" w:type="dxa"/>
            <w:vAlign w:val="bottom"/>
          </w:tcPr>
          <w:p>
            <w:pPr>
              <w:jc w:val="center"/>
              <w:ind w:left="241"/>
              <w:spacing w:after="0"/>
              <w:rPr>
                <w:sz w:val="20"/>
                <w:szCs w:val="20"/>
                <w:color w:val="auto"/>
              </w:rPr>
            </w:pPr>
            <w:r>
              <w:rPr>
                <w:rFonts w:ascii="Arial" w:cs="Arial" w:eastAsia="Arial" w:hAnsi="Arial"/>
                <w:sz w:val="20"/>
                <w:szCs w:val="20"/>
                <w:color w:val="2C2C2C"/>
                <w:w w:val="99"/>
              </w:rPr>
              <w:t>21%</w:t>
            </w:r>
          </w:p>
        </w:tc>
        <w:tc>
          <w:tcPr>
            <w:tcW w:w="300" w:type="dxa"/>
            <w:vAlign w:val="bottom"/>
          </w:tcPr>
          <w:p>
            <w:pPr>
              <w:spacing w:after="0"/>
              <w:rPr>
                <w:sz w:val="22"/>
                <w:szCs w:val="22"/>
                <w:color w:val="auto"/>
              </w:rPr>
            </w:pPr>
          </w:p>
        </w:tc>
        <w:tc>
          <w:tcPr>
            <w:tcW w:w="1200" w:type="dxa"/>
            <w:vAlign w:val="bottom"/>
          </w:tcPr>
          <w:p>
            <w:pPr>
              <w:jc w:val="center"/>
              <w:ind w:left="181"/>
              <w:spacing w:after="0"/>
              <w:rPr>
                <w:sz w:val="20"/>
                <w:szCs w:val="20"/>
                <w:color w:val="auto"/>
              </w:rPr>
            </w:pPr>
            <w:r>
              <w:rPr>
                <w:rFonts w:ascii="Arial" w:cs="Arial" w:eastAsia="Arial" w:hAnsi="Arial"/>
                <w:sz w:val="20"/>
                <w:szCs w:val="20"/>
                <w:color w:val="2C2C2C"/>
                <w:w w:val="96"/>
              </w:rPr>
              <w:t>3%</w:t>
            </w:r>
          </w:p>
        </w:tc>
        <w:tc>
          <w:tcPr>
            <w:tcW w:w="2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17%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center"/>
              <w:ind w:right="141"/>
              <w:spacing w:after="0"/>
              <w:rPr>
                <w:sz w:val="20"/>
                <w:szCs w:val="20"/>
                <w:color w:val="auto"/>
              </w:rPr>
            </w:pPr>
            <w:r>
              <w:rPr>
                <w:rFonts w:ascii="Arial" w:cs="Arial" w:eastAsia="Arial" w:hAnsi="Arial"/>
                <w:sz w:val="20"/>
                <w:szCs w:val="20"/>
                <w:color w:val="2C2C2C"/>
                <w:w w:val="99"/>
              </w:rPr>
              <w:t>14%</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Currency translation effects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w w:val="99"/>
              </w:rPr>
              <w:t>(2)%</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w w:val="99"/>
              </w:rPr>
              <w:t>(4)%</w:t>
            </w:r>
          </w:p>
        </w:tc>
        <w:tc>
          <w:tcPr>
            <w:tcW w:w="2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2C2C2C"/>
                <w:w w:val="99"/>
              </w:rPr>
              <w:t>(4)%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center"/>
              <w:ind w:right="161"/>
              <w:spacing w:after="0"/>
              <w:rPr>
                <w:sz w:val="20"/>
                <w:szCs w:val="20"/>
                <w:color w:val="auto"/>
              </w:rPr>
            </w:pPr>
            <w:r>
              <w:rPr>
                <w:rFonts w:ascii="Arial" w:cs="Arial" w:eastAsia="Arial" w:hAnsi="Arial"/>
                <w:sz w:val="20"/>
                <w:szCs w:val="20"/>
                <w:color w:val="2C2C2C"/>
                <w:w w:val="99"/>
              </w:rPr>
              <w:t>(3)%</w:t>
            </w:r>
          </w:p>
        </w:tc>
        <w:tc>
          <w:tcPr>
            <w:tcW w:w="0" w:type="dxa"/>
            <w:vAlign w:val="bottom"/>
          </w:tcPr>
          <w:p>
            <w:pPr>
              <w:spacing w:after="0"/>
              <w:rPr>
                <w:sz w:val="1"/>
                <w:szCs w:val="1"/>
                <w:color w:val="auto"/>
              </w:rPr>
            </w:pPr>
          </w:p>
        </w:tc>
      </w:tr>
      <w:tr>
        <w:trPr>
          <w:trHeight w:val="270"/>
        </w:trPr>
        <w:tc>
          <w:tcPr>
            <w:tcW w:w="4580" w:type="dxa"/>
            <w:vAlign w:val="bottom"/>
          </w:tcPr>
          <w:p>
            <w:pPr>
              <w:ind w:left="800"/>
              <w:spacing w:after="0"/>
              <w:rPr>
                <w:sz w:val="20"/>
                <w:szCs w:val="20"/>
                <w:color w:val="auto"/>
              </w:rPr>
            </w:pPr>
            <w:r>
              <w:rPr>
                <w:rFonts w:ascii="Arial" w:cs="Arial" w:eastAsia="Arial" w:hAnsi="Arial"/>
                <w:sz w:val="20"/>
                <w:szCs w:val="20"/>
                <w:color w:val="2C2C2C"/>
              </w:rPr>
              <w:t>Less: Acquisitions</w:t>
            </w:r>
          </w:p>
        </w:tc>
        <w:tc>
          <w:tcPr>
            <w:tcW w:w="1020" w:type="dxa"/>
            <w:vAlign w:val="bottom"/>
          </w:tcPr>
          <w:p>
            <w:pPr>
              <w:jc w:val="center"/>
              <w:ind w:left="261"/>
              <w:spacing w:after="0"/>
              <w:rPr>
                <w:sz w:val="20"/>
                <w:szCs w:val="20"/>
                <w:color w:val="auto"/>
              </w:rPr>
            </w:pPr>
            <w:r>
              <w:rPr>
                <w:rFonts w:ascii="Arial" w:cs="Arial" w:eastAsia="Arial" w:hAnsi="Arial"/>
                <w:sz w:val="20"/>
                <w:szCs w:val="20"/>
                <w:color w:val="2C2C2C"/>
              </w:rPr>
              <w:t>(29)%</w:t>
            </w:r>
          </w:p>
        </w:tc>
        <w:tc>
          <w:tcPr>
            <w:tcW w:w="300" w:type="dxa"/>
            <w:vAlign w:val="bottom"/>
          </w:tcPr>
          <w:p>
            <w:pPr>
              <w:spacing w:after="0"/>
              <w:rPr>
                <w:sz w:val="23"/>
                <w:szCs w:val="23"/>
                <w:color w:val="auto"/>
              </w:rPr>
            </w:pPr>
          </w:p>
        </w:tc>
        <w:tc>
          <w:tcPr>
            <w:tcW w:w="1200" w:type="dxa"/>
            <w:vAlign w:val="bottom"/>
          </w:tcPr>
          <w:p>
            <w:pPr>
              <w:jc w:val="center"/>
              <w:ind w:left="201"/>
              <w:spacing w:after="0"/>
              <w:rPr>
                <w:sz w:val="20"/>
                <w:szCs w:val="20"/>
                <w:color w:val="auto"/>
              </w:rPr>
            </w:pPr>
            <w:r>
              <w:rPr>
                <w:rFonts w:ascii="Arial" w:cs="Arial" w:eastAsia="Arial" w:hAnsi="Arial"/>
                <w:sz w:val="20"/>
                <w:szCs w:val="20"/>
                <w:color w:val="2C2C2C"/>
              </w:rPr>
              <w:t>—%</w:t>
            </w:r>
          </w:p>
        </w:tc>
        <w:tc>
          <w:tcPr>
            <w:tcW w:w="280" w:type="dxa"/>
            <w:vAlign w:val="bottom"/>
          </w:tcPr>
          <w:p>
            <w:pPr>
              <w:spacing w:after="0"/>
              <w:rPr>
                <w:sz w:val="23"/>
                <w:szCs w:val="23"/>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20"/>
                <w:szCs w:val="20"/>
                <w:color w:val="2C2C2C"/>
                <w:w w:val="95"/>
              </w:rPr>
              <w:t>—%</w:t>
            </w:r>
          </w:p>
        </w:tc>
        <w:tc>
          <w:tcPr>
            <w:tcW w:w="1160" w:type="dxa"/>
            <w:vAlign w:val="bottom"/>
          </w:tcPr>
          <w:p>
            <w:pPr>
              <w:jc w:val="center"/>
              <w:ind w:right="141"/>
              <w:spacing w:after="0"/>
              <w:rPr>
                <w:sz w:val="20"/>
                <w:szCs w:val="20"/>
                <w:color w:val="auto"/>
              </w:rPr>
            </w:pPr>
            <w:r>
              <w:rPr>
                <w:rFonts w:ascii="Arial" w:cs="Arial" w:eastAsia="Arial" w:hAnsi="Arial"/>
                <w:sz w:val="20"/>
                <w:szCs w:val="20"/>
                <w:color w:val="2C2C2C"/>
                <w:w w:val="97"/>
              </w:rPr>
              <w:t>(12)%</w:t>
            </w:r>
          </w:p>
        </w:tc>
        <w:tc>
          <w:tcPr>
            <w:tcW w:w="0" w:type="dxa"/>
            <w:vAlign w:val="bottom"/>
          </w:tcPr>
          <w:p>
            <w:pPr>
              <w:spacing w:after="0"/>
              <w:rPr>
                <w:sz w:val="1"/>
                <w:szCs w:val="1"/>
                <w:color w:val="auto"/>
              </w:rPr>
            </w:pPr>
          </w:p>
        </w:tc>
      </w:tr>
      <w:tr>
        <w:trPr>
          <w:trHeight w:val="245"/>
        </w:trPr>
        <w:tc>
          <w:tcPr>
            <w:tcW w:w="4580" w:type="dxa"/>
            <w:vAlign w:val="bottom"/>
          </w:tcPr>
          <w:p>
            <w:pPr>
              <w:ind w:left="800"/>
              <w:spacing w:after="0"/>
              <w:rPr>
                <w:sz w:val="20"/>
                <w:szCs w:val="20"/>
                <w:color w:val="auto"/>
              </w:rPr>
            </w:pPr>
            <w:r>
              <w:rPr>
                <w:rFonts w:ascii="Arial" w:cs="Arial" w:eastAsia="Arial" w:hAnsi="Arial"/>
                <w:sz w:val="20"/>
                <w:szCs w:val="20"/>
                <w:color w:val="2C2C2C"/>
              </w:rPr>
              <w:t>Organic sales change</w:t>
            </w:r>
          </w:p>
        </w:tc>
        <w:tc>
          <w:tcPr>
            <w:tcW w:w="1020" w:type="dxa"/>
            <w:vAlign w:val="bottom"/>
            <w:tcBorders>
              <w:top w:val="single" w:sz="8" w:color="auto"/>
            </w:tcBorders>
          </w:tcPr>
          <w:p>
            <w:pPr>
              <w:jc w:val="center"/>
              <w:ind w:left="261"/>
              <w:spacing w:after="0"/>
              <w:rPr>
                <w:sz w:val="20"/>
                <w:szCs w:val="20"/>
                <w:color w:val="auto"/>
              </w:rPr>
            </w:pPr>
            <w:r>
              <w:rPr>
                <w:rFonts w:ascii="Arial" w:cs="Arial" w:eastAsia="Arial" w:hAnsi="Arial"/>
                <w:sz w:val="20"/>
                <w:szCs w:val="20"/>
                <w:color w:val="2C2C2C"/>
              </w:rPr>
              <w:t>(10)%</w:t>
            </w: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center"/>
              <w:ind w:left="201"/>
              <w:spacing w:after="0"/>
              <w:rPr>
                <w:sz w:val="20"/>
                <w:szCs w:val="20"/>
                <w:color w:val="auto"/>
              </w:rPr>
            </w:pPr>
            <w:r>
              <w:rPr>
                <w:rFonts w:ascii="Arial" w:cs="Arial" w:eastAsia="Arial" w:hAnsi="Arial"/>
                <w:sz w:val="20"/>
                <w:szCs w:val="20"/>
                <w:color w:val="2C2C2C"/>
                <w:w w:val="99"/>
              </w:rPr>
              <w:t>(1)%</w:t>
            </w:r>
          </w:p>
        </w:tc>
        <w:tc>
          <w:tcPr>
            <w:tcW w:w="2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2C2C2C"/>
                <w:w w:val="99"/>
              </w:rPr>
              <w:t>13%</w:t>
            </w: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161"/>
              <w:spacing w:after="0"/>
              <w:rPr>
                <w:sz w:val="20"/>
                <w:szCs w:val="20"/>
                <w:color w:val="auto"/>
              </w:rPr>
            </w:pPr>
            <w:r>
              <w:rPr>
                <w:rFonts w:ascii="Arial" w:cs="Arial" w:eastAsia="Arial" w:hAnsi="Arial"/>
                <w:sz w:val="20"/>
                <w:szCs w:val="20"/>
                <w:color w:val="2C2C2C"/>
                <w:w w:val="99"/>
              </w:rPr>
              <w:t>(1)%</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800" w:right="1000" w:firstLine="2"/>
        <w:spacing w:after="0" w:line="181" w:lineRule="auto"/>
        <w:tabs>
          <w:tab w:leader="none" w:pos="1002" w:val="left"/>
        </w:tabs>
        <w:numPr>
          <w:ilvl w:val="0"/>
          <w:numId w:val="6"/>
        </w:numPr>
        <w:rPr>
          <w:rFonts w:ascii="Arial" w:cs="Arial" w:eastAsia="Arial" w:hAnsi="Arial"/>
          <w:sz w:val="24"/>
          <w:szCs w:val="24"/>
          <w:color w:val="2C2C2C"/>
          <w:vertAlign w:val="superscript"/>
        </w:rPr>
      </w:pPr>
      <w:r>
        <w:rPr>
          <w:rFonts w:ascii="Arial" w:cs="Arial" w:eastAsia="Arial" w:hAnsi="Arial"/>
          <w:sz w:val="15"/>
          <w:szCs w:val="15"/>
          <w:color w:val="2C2C2C"/>
        </w:rPr>
        <w:t>Detection includes Fixed Gas and Flame Detection and Portable Gas Detection. Detection includes sales from M&amp;C, acquired by the Company, from May 6th, 2025, onward (Americas and International).</w:t>
      </w:r>
    </w:p>
    <w:p>
      <w:pPr>
        <w:spacing w:after="0" w:line="1" w:lineRule="exact"/>
        <w:rPr>
          <w:rFonts w:ascii="Arial" w:cs="Arial" w:eastAsia="Arial" w:hAnsi="Arial"/>
          <w:sz w:val="24"/>
          <w:szCs w:val="24"/>
          <w:color w:val="2C2C2C"/>
          <w:vertAlign w:val="superscript"/>
        </w:rPr>
      </w:pPr>
    </w:p>
    <w:p>
      <w:pPr>
        <w:ind w:left="1000" w:hanging="198"/>
        <w:spacing w:after="0" w:line="187" w:lineRule="auto"/>
        <w:tabs>
          <w:tab w:leader="none" w:pos="1000" w:val="left"/>
        </w:tabs>
        <w:numPr>
          <w:ilvl w:val="0"/>
          <w:numId w:val="6"/>
        </w:numPr>
        <w:rPr>
          <w:rFonts w:ascii="Arial" w:cs="Arial" w:eastAsia="Arial" w:hAnsi="Arial"/>
          <w:sz w:val="18"/>
          <w:szCs w:val="18"/>
          <w:color w:val="2C2C2C"/>
          <w:vertAlign w:val="superscript"/>
        </w:rPr>
      </w:pPr>
      <w:r>
        <w:rPr>
          <w:rFonts w:ascii="Arial" w:cs="Arial" w:eastAsia="Arial" w:hAnsi="Arial"/>
          <w:sz w:val="12"/>
          <w:szCs w:val="12"/>
          <w:color w:val="2C2C2C"/>
        </w:rPr>
        <w:t>Fire Service includes Breathing Apparatus and Firefighter Helmets and Protective Apparel.</w:t>
      </w:r>
    </w:p>
    <w:p>
      <w:pPr>
        <w:ind w:left="1000" w:hanging="198"/>
        <w:spacing w:after="0" w:line="188" w:lineRule="auto"/>
        <w:tabs>
          <w:tab w:leader="none" w:pos="1000" w:val="left"/>
        </w:tabs>
        <w:numPr>
          <w:ilvl w:val="0"/>
          <w:numId w:val="6"/>
        </w:numPr>
        <w:rPr>
          <w:rFonts w:ascii="Arial" w:cs="Arial" w:eastAsia="Arial" w:hAnsi="Arial"/>
          <w:sz w:val="22"/>
          <w:szCs w:val="22"/>
          <w:color w:val="2C2C2C"/>
          <w:vertAlign w:val="superscript"/>
        </w:rPr>
      </w:pPr>
      <w:r>
        <w:rPr>
          <w:rFonts w:ascii="Arial" w:cs="Arial" w:eastAsia="Arial" w:hAnsi="Arial"/>
          <w:sz w:val="14"/>
          <w:szCs w:val="14"/>
          <w:color w:val="2C2C2C"/>
        </w:rPr>
        <w:t>Industrial PPE and Other includes Industrial Head Protection, Fall Protection and Non-Core.</w:t>
      </w:r>
    </w:p>
    <w:p>
      <w:pPr>
        <w:spacing w:after="0" w:line="278" w:lineRule="exact"/>
        <w:rPr>
          <w:sz w:val="20"/>
          <w:szCs w:val="20"/>
          <w:color w:val="auto"/>
        </w:rPr>
      </w:pPr>
    </w:p>
    <w:p>
      <w:pPr>
        <w:spacing w:after="0" w:line="258" w:lineRule="auto"/>
        <w:rPr>
          <w:sz w:val="20"/>
          <w:szCs w:val="20"/>
          <w:color w:val="auto"/>
        </w:rPr>
      </w:pPr>
      <w:r>
        <w:rPr>
          <w:rFonts w:ascii="Arial" w:cs="Arial" w:eastAsia="Arial" w:hAnsi="Arial"/>
          <w:sz w:val="20"/>
          <w:szCs w:val="20"/>
          <w:color w:val="2C2C2C"/>
        </w:rPr>
        <w:t>Management believes that organic sales change is a useful metric for investors, as foreign currency translation, acquisitions and divestitures can have a material impact on sales change trends. Organic sales change highlights ongoing business performance excluding the impact of fluctuating foreign currencies, acquisitions and divestitures. There can be no assurances that MSA's definition of organic sales change is consistent with that of other companies. As such, management believes that it is appropriate to consider sales change determined on a GAAP basis in addition to this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220"/>
          </w:cols>
          <w:pgMar w:left="320" w:top="127"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2C2C2C"/>
        </w:rPr>
        <w:t>Reconciliation of Non-GAAP Financial Measures Adjusted operating income (Unaudited) Adjusted EBITDA (Unaudited)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2C2C2C"/>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0"/>
          <w:szCs w:val="20"/>
          <w:color w:val="2C2C2C"/>
        </w:rPr>
        <w:t>Adjusted EBITDA from reportable segments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0"/>
          <w:szCs w:val="20"/>
          <w:color w:val="2C2C2C"/>
        </w:rPr>
        <w:t>Less:</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22"/>
          <w:szCs w:val="22"/>
          <w:color w:val="242424"/>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gridSpan w:val="5"/>
          </w:tcPr>
          <w:p>
            <w:pPr>
              <w:ind w:left="380"/>
              <w:spacing w:after="0"/>
              <w:rPr>
                <w:sz w:val="20"/>
                <w:szCs w:val="20"/>
                <w:color w:val="auto"/>
              </w:rPr>
            </w:pPr>
            <w:r>
              <w:rPr>
                <w:rFonts w:ascii="Arial" w:cs="Arial" w:eastAsia="Arial" w:hAnsi="Arial"/>
                <w:sz w:val="20"/>
                <w:szCs w:val="20"/>
                <w:color w:val="2C2C2C"/>
              </w:rPr>
              <w:t>Three Months Ended</w:t>
            </w:r>
          </w:p>
        </w:tc>
        <w:tc>
          <w:tcPr>
            <w:tcW w:w="260" w:type="dxa"/>
            <w:vAlign w:val="bottom"/>
          </w:tcPr>
          <w:p>
            <w:pPr>
              <w:spacing w:after="0"/>
              <w:rPr>
                <w:sz w:val="19"/>
                <w:szCs w:val="19"/>
                <w:color w:val="auto"/>
              </w:rPr>
            </w:pPr>
          </w:p>
        </w:tc>
        <w:tc>
          <w:tcPr>
            <w:tcW w:w="2340" w:type="dxa"/>
            <w:vAlign w:val="bottom"/>
            <w:gridSpan w:val="4"/>
          </w:tcPr>
          <w:p>
            <w:pPr>
              <w:ind w:left="180"/>
              <w:spacing w:after="0"/>
              <w:rPr>
                <w:sz w:val="20"/>
                <w:szCs w:val="20"/>
                <w:color w:val="auto"/>
              </w:rPr>
            </w:pPr>
            <w:r>
              <w:rPr>
                <w:rFonts w:ascii="Arial" w:cs="Arial" w:eastAsia="Arial" w:hAnsi="Arial"/>
                <w:sz w:val="20"/>
                <w:szCs w:val="20"/>
                <w:color w:val="2C2C2C"/>
              </w:rPr>
              <w:t>Nine months ended</w:t>
            </w:r>
          </w:p>
        </w:tc>
      </w:tr>
      <w:tr>
        <w:trPr>
          <w:trHeight w:val="251"/>
        </w:trPr>
        <w:tc>
          <w:tcPr>
            <w:tcW w:w="2740" w:type="dxa"/>
            <w:vAlign w:val="bottom"/>
            <w:gridSpan w:val="5"/>
          </w:tcPr>
          <w:p>
            <w:pPr>
              <w:ind w:left="640"/>
              <w:spacing w:after="0"/>
              <w:rPr>
                <w:sz w:val="20"/>
                <w:szCs w:val="20"/>
                <w:color w:val="auto"/>
              </w:rPr>
            </w:pPr>
            <w:r>
              <w:rPr>
                <w:rFonts w:ascii="Arial" w:cs="Arial" w:eastAsia="Arial" w:hAnsi="Arial"/>
                <w:sz w:val="20"/>
                <w:szCs w:val="20"/>
                <w:color w:val="2C2C2C"/>
              </w:rPr>
              <w:t>September 30,</w:t>
            </w:r>
          </w:p>
        </w:tc>
        <w:tc>
          <w:tcPr>
            <w:tcW w:w="260" w:type="dxa"/>
            <w:vAlign w:val="bottom"/>
          </w:tcPr>
          <w:p>
            <w:pPr>
              <w:spacing w:after="0"/>
              <w:rPr>
                <w:sz w:val="21"/>
                <w:szCs w:val="21"/>
                <w:color w:val="auto"/>
              </w:rPr>
            </w:pPr>
          </w:p>
        </w:tc>
        <w:tc>
          <w:tcPr>
            <w:tcW w:w="2340" w:type="dxa"/>
            <w:vAlign w:val="bottom"/>
            <w:gridSpan w:val="4"/>
          </w:tcPr>
          <w:p>
            <w:pPr>
              <w:ind w:left="380"/>
              <w:spacing w:after="0"/>
              <w:rPr>
                <w:sz w:val="20"/>
                <w:szCs w:val="20"/>
                <w:color w:val="auto"/>
              </w:rPr>
            </w:pPr>
            <w:r>
              <w:rPr>
                <w:rFonts w:ascii="Arial" w:cs="Arial" w:eastAsia="Arial" w:hAnsi="Arial"/>
                <w:sz w:val="20"/>
                <w:szCs w:val="20"/>
                <w:color w:val="2C2C2C"/>
              </w:rPr>
              <w:t>September 30,</w:t>
            </w:r>
          </w:p>
        </w:tc>
      </w:tr>
      <w:tr>
        <w:trPr>
          <w:trHeight w:val="262"/>
        </w:trPr>
        <w:tc>
          <w:tcPr>
            <w:tcW w:w="12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20"/>
                <w:szCs w:val="20"/>
                <w:color w:val="2C2C2C"/>
              </w:rPr>
              <w:t>2026</w:t>
            </w: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2C2C2C"/>
              </w:rPr>
              <w:t>2025</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2C2C2C"/>
              </w:rPr>
              <w:t>2026</w:t>
            </w: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2C2C2C"/>
              </w:rPr>
              <w:t>2025</w:t>
            </w:r>
          </w:p>
        </w:tc>
      </w:tr>
      <w:tr>
        <w:trPr>
          <w:trHeight w:val="397"/>
        </w:trPr>
        <w:tc>
          <w:tcPr>
            <w:tcW w:w="1220" w:type="dxa"/>
            <w:vAlign w:val="bottom"/>
          </w:tcPr>
          <w:p>
            <w:pPr>
              <w:jc w:val="right"/>
              <w:spacing w:after="0"/>
              <w:rPr>
                <w:sz w:val="20"/>
                <w:szCs w:val="20"/>
                <w:color w:val="auto"/>
              </w:rPr>
            </w:pPr>
            <w:r>
              <w:rPr>
                <w:rFonts w:ascii="Arial" w:cs="Arial" w:eastAsia="Arial" w:hAnsi="Arial"/>
                <w:sz w:val="20"/>
                <w:szCs w:val="20"/>
                <w:color w:val="2C2C2C"/>
              </w:rPr>
              <w:t>$   144,278</w:t>
            </w:r>
          </w:p>
        </w:tc>
        <w:tc>
          <w:tcPr>
            <w:tcW w:w="14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2C2C2C"/>
                <w:w w:val="89"/>
              </w:rPr>
              <w:t>$</w:t>
            </w:r>
          </w:p>
        </w:tc>
        <w:tc>
          <w:tcPr>
            <w:tcW w:w="980" w:type="dxa"/>
            <w:vAlign w:val="bottom"/>
          </w:tcPr>
          <w:p>
            <w:pPr>
              <w:jc w:val="right"/>
              <w:spacing w:after="0"/>
              <w:rPr>
                <w:sz w:val="20"/>
                <w:szCs w:val="20"/>
                <w:color w:val="auto"/>
              </w:rPr>
            </w:pPr>
            <w:r>
              <w:rPr>
                <w:rFonts w:ascii="Arial" w:cs="Arial" w:eastAsia="Arial" w:hAnsi="Arial"/>
                <w:sz w:val="20"/>
                <w:szCs w:val="20"/>
                <w:color w:val="2C2C2C"/>
              </w:rPr>
              <w:t>128,487</w:t>
            </w:r>
          </w:p>
        </w:tc>
        <w:tc>
          <w:tcPr>
            <w:tcW w:w="14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2C2C2C"/>
                <w:w w:val="89"/>
              </w:rPr>
              <w:t>$</w:t>
            </w:r>
          </w:p>
        </w:tc>
        <w:tc>
          <w:tcPr>
            <w:tcW w:w="960" w:type="dxa"/>
            <w:vAlign w:val="bottom"/>
          </w:tcPr>
          <w:p>
            <w:pPr>
              <w:ind w:left="160"/>
              <w:spacing w:after="0"/>
              <w:rPr>
                <w:sz w:val="20"/>
                <w:szCs w:val="20"/>
                <w:color w:val="auto"/>
              </w:rPr>
            </w:pPr>
            <w:r>
              <w:rPr>
                <w:rFonts w:ascii="Arial" w:cs="Arial" w:eastAsia="Arial" w:hAnsi="Arial"/>
                <w:sz w:val="20"/>
                <w:szCs w:val="20"/>
                <w:color w:val="2C2C2C"/>
              </w:rPr>
              <w:t>421,559</w:t>
            </w:r>
          </w:p>
        </w:tc>
        <w:tc>
          <w:tcPr>
            <w:tcW w:w="14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2C2C2C"/>
                <w:w w:val="89"/>
              </w:rPr>
              <w:t>$</w:t>
            </w:r>
          </w:p>
        </w:tc>
        <w:tc>
          <w:tcPr>
            <w:tcW w:w="980" w:type="dxa"/>
            <w:vAlign w:val="bottom"/>
          </w:tcPr>
          <w:p>
            <w:pPr>
              <w:jc w:val="right"/>
              <w:spacing w:after="0"/>
              <w:rPr>
                <w:sz w:val="20"/>
                <w:szCs w:val="20"/>
                <w:color w:val="auto"/>
              </w:rPr>
            </w:pPr>
            <w:r>
              <w:rPr>
                <w:rFonts w:ascii="Arial" w:cs="Arial" w:eastAsia="Arial" w:hAnsi="Arial"/>
                <w:sz w:val="20"/>
                <w:szCs w:val="20"/>
                <w:color w:val="2C2C2C"/>
              </w:rPr>
              <w:t>367,651</w:t>
            </w:r>
          </w:p>
        </w:tc>
      </w:tr>
    </w:tbl>
    <w:p>
      <w:pPr>
        <w:spacing w:after="0" w:line="319" w:lineRule="exact"/>
        <w:rPr>
          <w:sz w:val="20"/>
          <w:szCs w:val="20"/>
          <w:color w:val="auto"/>
        </w:rPr>
      </w:pPr>
    </w:p>
    <w:p>
      <w:pPr>
        <w:sectPr>
          <w:pgSz w:w="11900" w:h="16838" w:orient="portrait"/>
          <w:cols w:equalWidth="0" w:num="2">
            <w:col w:w="4640" w:space="720"/>
            <w:col w:w="5860"/>
          </w:cols>
          <w:pgMar w:left="320" w:top="127" w:right="359" w:bottom="1440" w:gutter="0" w:footer="0" w:header="0"/>
        </w:sectPr>
      </w:pPr>
    </w:p>
    <w:tbl>
      <w:tblPr>
        <w:tblLayout w:type="fixed"/>
        <w:tblInd w:w="20" w:type="dxa"/>
        <w:tblCellMar>
          <w:top w:w="0" w:type="dxa"/>
          <w:left w:w="0" w:type="dxa"/>
          <w:bottom w:w="0" w:type="dxa"/>
          <w:right w:w="0" w:type="dxa"/>
        </w:tblCellMar>
      </w:tblPr>
      <w:tr>
        <w:trPr>
          <w:trHeight w:val="261"/>
        </w:trPr>
        <w:tc>
          <w:tcPr>
            <w:tcW w:w="5340" w:type="dxa"/>
            <w:vAlign w:val="bottom"/>
          </w:tcPr>
          <w:p>
            <w:pPr>
              <w:ind w:left="280"/>
              <w:spacing w:after="0"/>
              <w:rPr>
                <w:sz w:val="20"/>
                <w:szCs w:val="20"/>
                <w:color w:val="auto"/>
              </w:rPr>
            </w:pPr>
            <w:r>
              <w:rPr>
                <w:rFonts w:ascii="Arial" w:cs="Arial" w:eastAsia="Arial" w:hAnsi="Arial"/>
                <w:sz w:val="20"/>
                <w:szCs w:val="20"/>
                <w:color w:val="2C2C2C"/>
              </w:rPr>
              <w:t>Depreciation and amortization</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15,784</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14,973</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46,252</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43,258</w:t>
            </w: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20"/>
                <w:szCs w:val="20"/>
                <w:color w:val="2C2C2C"/>
              </w:rPr>
              <w:t>Adjusted operating income from reportable segments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128,494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113,514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375,307</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324,393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20"/>
                <w:szCs w:val="20"/>
                <w:color w:val="2C2C2C"/>
              </w:rPr>
              <w:t>Less: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280"/>
              <w:spacing w:after="0"/>
              <w:rPr>
                <w:sz w:val="20"/>
                <w:szCs w:val="20"/>
                <w:color w:val="auto"/>
              </w:rPr>
            </w:pPr>
            <w:r>
              <w:rPr>
                <w:rFonts w:ascii="Arial" w:cs="Arial" w:eastAsia="Arial" w:hAnsi="Arial"/>
                <w:sz w:val="20"/>
                <w:szCs w:val="20"/>
                <w:color w:val="2C2C2C"/>
              </w:rPr>
              <w:t>Corporate expenses</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13,564</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9,773</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38,138</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31,718</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0"/>
                <w:szCs w:val="20"/>
                <w:color w:val="auto"/>
              </w:rPr>
            </w:pPr>
            <w:r>
              <w:rPr>
                <w:rFonts w:ascii="Arial" w:cs="Arial" w:eastAsia="Arial" w:hAnsi="Arial"/>
                <w:sz w:val="20"/>
                <w:szCs w:val="20"/>
                <w:color w:val="2C2C2C"/>
              </w:rPr>
              <w:t>Adjusted operating income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114,930</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103,741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337,169</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292,675</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20"/>
                <w:szCs w:val="20"/>
                <w:color w:val="2C2C2C"/>
              </w:rPr>
              <w:t>Less: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5340" w:type="dxa"/>
            <w:vAlign w:val="bottom"/>
          </w:tcPr>
          <w:p>
            <w:pPr>
              <w:ind w:left="280"/>
              <w:spacing w:after="0"/>
              <w:rPr>
                <w:sz w:val="20"/>
                <w:szCs w:val="20"/>
                <w:color w:val="auto"/>
              </w:rPr>
            </w:pPr>
            <w:r>
              <w:rPr>
                <w:rFonts w:ascii="Arial" w:cs="Arial" w:eastAsia="Arial" w:hAnsi="Arial"/>
                <w:sz w:val="20"/>
                <w:szCs w:val="20"/>
                <w:color w:val="2C2C2C"/>
              </w:rPr>
              <w:t>Currency exchange losses, net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1,876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3,875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3,971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13,237</w:t>
            </w:r>
          </w:p>
        </w:tc>
        <w:tc>
          <w:tcPr>
            <w:tcW w:w="0" w:type="dxa"/>
            <w:vAlign w:val="bottom"/>
          </w:tcPr>
          <w:p>
            <w:pPr>
              <w:spacing w:after="0"/>
              <w:rPr>
                <w:sz w:val="1"/>
                <w:szCs w:val="1"/>
                <w:color w:val="auto"/>
              </w:rPr>
            </w:pPr>
          </w:p>
        </w:tc>
      </w:tr>
      <w:tr>
        <w:trPr>
          <w:trHeight w:val="351"/>
        </w:trPr>
        <w:tc>
          <w:tcPr>
            <w:tcW w:w="5340" w:type="dxa"/>
            <w:vAlign w:val="bottom"/>
          </w:tcPr>
          <w:p>
            <w:pPr>
              <w:ind w:left="280"/>
              <w:spacing w:after="0"/>
              <w:rPr>
                <w:sz w:val="20"/>
                <w:szCs w:val="20"/>
                <w:color w:val="auto"/>
              </w:rPr>
            </w:pPr>
            <w:r>
              <w:rPr>
                <w:rFonts w:ascii="Arial" w:cs="Arial" w:eastAsia="Arial" w:hAnsi="Arial"/>
                <w:sz w:val="20"/>
                <w:szCs w:val="20"/>
                <w:color w:val="2C2C2C"/>
              </w:rPr>
              <w:t>Restructuring charges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1,780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58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6,318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2,470</w:t>
            </w:r>
          </w:p>
        </w:tc>
        <w:tc>
          <w:tcPr>
            <w:tcW w:w="0" w:type="dxa"/>
            <w:vAlign w:val="bottom"/>
          </w:tcPr>
          <w:p>
            <w:pPr>
              <w:spacing w:after="0"/>
              <w:rPr>
                <w:sz w:val="1"/>
                <w:szCs w:val="1"/>
                <w:color w:val="auto"/>
              </w:rPr>
            </w:pPr>
          </w:p>
        </w:tc>
      </w:tr>
      <w:tr>
        <w:trPr>
          <w:trHeight w:val="311"/>
        </w:trPr>
        <w:tc>
          <w:tcPr>
            <w:tcW w:w="5340" w:type="dxa"/>
            <w:vAlign w:val="bottom"/>
          </w:tcPr>
          <w:p>
            <w:pPr>
              <w:ind w:left="260"/>
              <w:spacing w:after="0"/>
              <w:rPr>
                <w:sz w:val="20"/>
                <w:szCs w:val="20"/>
                <w:color w:val="auto"/>
              </w:rPr>
            </w:pPr>
            <w:r>
              <w:rPr>
                <w:rFonts w:ascii="Arial" w:cs="Arial" w:eastAsia="Arial" w:hAnsi="Arial"/>
                <w:sz w:val="20"/>
                <w:szCs w:val="20"/>
                <w:color w:val="2C2C2C"/>
              </w:rPr>
              <w:t>Acquisition-related amortization</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8,072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3,595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14,841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9,033</w:t>
            </w:r>
          </w:p>
        </w:tc>
        <w:tc>
          <w:tcPr>
            <w:tcW w:w="0" w:type="dxa"/>
            <w:vAlign w:val="bottom"/>
          </w:tcPr>
          <w:p>
            <w:pPr>
              <w:spacing w:after="0"/>
              <w:rPr>
                <w:sz w:val="1"/>
                <w:szCs w:val="1"/>
                <w:color w:val="auto"/>
              </w:rPr>
            </w:pPr>
          </w:p>
        </w:tc>
      </w:tr>
      <w:tr>
        <w:trPr>
          <w:trHeight w:val="273"/>
        </w:trPr>
        <w:tc>
          <w:tcPr>
            <w:tcW w:w="5340" w:type="dxa"/>
            <w:vAlign w:val="bottom"/>
          </w:tcPr>
          <w:p>
            <w:pPr>
              <w:ind w:left="280"/>
              <w:spacing w:after="0" w:line="274" w:lineRule="exact"/>
              <w:rPr>
                <w:sz w:val="20"/>
                <w:szCs w:val="20"/>
                <w:color w:val="auto"/>
              </w:rPr>
            </w:pPr>
            <w:r>
              <w:rPr>
                <w:rFonts w:ascii="Arial" w:cs="Arial" w:eastAsia="Arial" w:hAnsi="Arial"/>
                <w:sz w:val="20"/>
                <w:szCs w:val="20"/>
                <w:color w:val="2C2C2C"/>
              </w:rPr>
              <w:t xml:space="preserve">Transaction and digital transformation costs </w:t>
            </w:r>
            <w:r>
              <w:rPr>
                <w:rFonts w:ascii="Arial" w:cs="Arial" w:eastAsia="Arial" w:hAnsi="Arial"/>
                <w:sz w:val="25"/>
                <w:szCs w:val="25"/>
                <w:color w:val="2C2C2C"/>
                <w:vertAlign w:val="superscript"/>
              </w:rPr>
              <w:t>(a)</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14,967</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1,903</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18,831</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10,002</w:t>
            </w:r>
          </w:p>
        </w:tc>
        <w:tc>
          <w:tcPr>
            <w:tcW w:w="0" w:type="dxa"/>
            <w:vAlign w:val="bottom"/>
          </w:tcPr>
          <w:p>
            <w:pPr>
              <w:spacing w:after="0"/>
              <w:rPr>
                <w:sz w:val="1"/>
                <w:szCs w:val="1"/>
                <w:color w:val="auto"/>
              </w:rPr>
            </w:pPr>
          </w:p>
        </w:tc>
      </w:tr>
      <w:tr>
        <w:trPr>
          <w:trHeight w:val="260"/>
        </w:trPr>
        <w:tc>
          <w:tcPr>
            <w:tcW w:w="5340" w:type="dxa"/>
            <w:vAlign w:val="bottom"/>
          </w:tcPr>
          <w:p>
            <w:pPr>
              <w:spacing w:after="0"/>
              <w:rPr>
                <w:sz w:val="20"/>
                <w:szCs w:val="20"/>
                <w:color w:val="auto"/>
              </w:rPr>
            </w:pPr>
            <w:r>
              <w:rPr>
                <w:rFonts w:ascii="Arial" w:cs="Arial" w:eastAsia="Arial" w:hAnsi="Arial"/>
                <w:sz w:val="20"/>
                <w:szCs w:val="20"/>
                <w:color w:val="2C2C2C"/>
              </w:rPr>
              <w:t>GAAP operating income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88,235</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94,310</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293,208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257,933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20"/>
                <w:szCs w:val="20"/>
                <w:color w:val="2C2C2C"/>
              </w:rPr>
              <w:t>Less: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280"/>
              <w:spacing w:after="0"/>
              <w:rPr>
                <w:sz w:val="20"/>
                <w:szCs w:val="20"/>
                <w:color w:val="auto"/>
              </w:rPr>
            </w:pPr>
            <w:r>
              <w:rPr>
                <w:rFonts w:ascii="Arial" w:cs="Arial" w:eastAsia="Arial" w:hAnsi="Arial"/>
                <w:sz w:val="20"/>
                <w:szCs w:val="20"/>
                <w:color w:val="2C2C2C"/>
              </w:rPr>
              <w:t>Interest expense</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13,759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8,416</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29,413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23,368</w:t>
            </w:r>
          </w:p>
        </w:tc>
        <w:tc>
          <w:tcPr>
            <w:tcW w:w="0" w:type="dxa"/>
            <w:vAlign w:val="bottom"/>
          </w:tcPr>
          <w:p>
            <w:pPr>
              <w:spacing w:after="0"/>
              <w:rPr>
                <w:sz w:val="1"/>
                <w:szCs w:val="1"/>
                <w:color w:val="auto"/>
              </w:rPr>
            </w:pPr>
          </w:p>
        </w:tc>
      </w:tr>
      <w:tr>
        <w:trPr>
          <w:trHeight w:val="270"/>
        </w:trPr>
        <w:tc>
          <w:tcPr>
            <w:tcW w:w="5340" w:type="dxa"/>
            <w:vAlign w:val="bottom"/>
          </w:tcPr>
          <w:p>
            <w:pPr>
              <w:ind w:left="280"/>
              <w:spacing w:after="0"/>
              <w:rPr>
                <w:sz w:val="20"/>
                <w:szCs w:val="20"/>
                <w:color w:val="auto"/>
              </w:rPr>
            </w:pPr>
            <w:r>
              <w:rPr>
                <w:rFonts w:ascii="Arial" w:cs="Arial" w:eastAsia="Arial" w:hAnsi="Arial"/>
                <w:sz w:val="20"/>
                <w:szCs w:val="20"/>
                <w:color w:val="2C2C2C"/>
              </w:rPr>
              <w:t>Other income, net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(7,478)</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(6,562)</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(22,538)</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(18,585)</w:t>
            </w:r>
          </w:p>
        </w:tc>
        <w:tc>
          <w:tcPr>
            <w:tcW w:w="0" w:type="dxa"/>
            <w:vAlign w:val="bottom"/>
          </w:tcPr>
          <w:p>
            <w:pPr>
              <w:spacing w:after="0"/>
              <w:rPr>
                <w:sz w:val="1"/>
                <w:szCs w:val="1"/>
                <w:color w:val="auto"/>
              </w:rPr>
            </w:pPr>
          </w:p>
        </w:tc>
      </w:tr>
      <w:tr>
        <w:trPr>
          <w:trHeight w:val="290"/>
        </w:trPr>
        <w:tc>
          <w:tcPr>
            <w:tcW w:w="5340" w:type="dxa"/>
            <w:vAlign w:val="bottom"/>
          </w:tcPr>
          <w:p>
            <w:pPr>
              <w:spacing w:after="0"/>
              <w:rPr>
                <w:sz w:val="20"/>
                <w:szCs w:val="20"/>
                <w:color w:val="auto"/>
              </w:rPr>
            </w:pPr>
            <w:r>
              <w:rPr>
                <w:rFonts w:ascii="Arial" w:cs="Arial" w:eastAsia="Arial" w:hAnsi="Arial"/>
                <w:sz w:val="20"/>
                <w:szCs w:val="20"/>
                <w:color w:val="2C2C2C"/>
              </w:rPr>
              <w:t>Income before income taxes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81,954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92,456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286,333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253,150</w:t>
            </w:r>
          </w:p>
        </w:tc>
        <w:tc>
          <w:tcPr>
            <w:tcW w:w="0" w:type="dxa"/>
            <w:vAlign w:val="bottom"/>
          </w:tcPr>
          <w:p>
            <w:pPr>
              <w:spacing w:after="0"/>
              <w:rPr>
                <w:sz w:val="1"/>
                <w:szCs w:val="1"/>
                <w:color w:val="auto"/>
              </w:rPr>
            </w:pPr>
          </w:p>
        </w:tc>
      </w:tr>
      <w:tr>
        <w:trPr>
          <w:trHeight w:val="351"/>
        </w:trPr>
        <w:tc>
          <w:tcPr>
            <w:tcW w:w="5340" w:type="dxa"/>
            <w:vAlign w:val="bottom"/>
          </w:tcPr>
          <w:p>
            <w:pPr>
              <w:spacing w:after="0"/>
              <w:rPr>
                <w:sz w:val="20"/>
                <w:szCs w:val="20"/>
                <w:color w:val="auto"/>
              </w:rPr>
            </w:pPr>
            <w:r>
              <w:rPr>
                <w:rFonts w:ascii="Arial" w:cs="Arial" w:eastAsia="Arial" w:hAnsi="Arial"/>
                <w:sz w:val="20"/>
                <w:szCs w:val="20"/>
                <w:color w:val="2C2C2C"/>
              </w:rPr>
              <w:t>Provision for income taxes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23,558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22,843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C2C2C"/>
              </w:rPr>
              <w:t>70,474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C2C2C"/>
              </w:rPr>
              <w:t>61,159</w:t>
            </w:r>
          </w:p>
        </w:tc>
        <w:tc>
          <w:tcPr>
            <w:tcW w:w="0" w:type="dxa"/>
            <w:vAlign w:val="bottom"/>
          </w:tcPr>
          <w:p>
            <w:pPr>
              <w:spacing w:after="0"/>
              <w:rPr>
                <w:sz w:val="1"/>
                <w:szCs w:val="1"/>
                <w:color w:val="auto"/>
              </w:rPr>
            </w:pPr>
          </w:p>
        </w:tc>
      </w:tr>
      <w:tr>
        <w:trPr>
          <w:trHeight w:val="44"/>
        </w:trPr>
        <w:tc>
          <w:tcPr>
            <w:tcW w:w="5340" w:type="dxa"/>
            <w:vAlign w:val="bottom"/>
            <w:vMerge w:val="restart"/>
          </w:tcPr>
          <w:p>
            <w:pPr>
              <w:spacing w:after="0"/>
              <w:rPr>
                <w:sz w:val="20"/>
                <w:szCs w:val="20"/>
                <w:color w:val="auto"/>
              </w:rPr>
            </w:pPr>
            <w:r>
              <w:rPr>
                <w:rFonts w:ascii="Arial" w:cs="Arial" w:eastAsia="Arial" w:hAnsi="Arial"/>
                <w:sz w:val="20"/>
                <w:szCs w:val="20"/>
                <w:color w:val="2C2C2C"/>
              </w:rPr>
              <w:t>Net income</w:t>
            </w: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5340" w:type="dxa"/>
            <w:vAlign w:val="bottom"/>
            <w:vMerge w:val="continue"/>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2C2C2C"/>
                <w:w w:val="89"/>
              </w:rPr>
              <w:t>$</w:t>
            </w:r>
          </w:p>
        </w:tc>
        <w:tc>
          <w:tcPr>
            <w:tcW w:w="940" w:type="dxa"/>
            <w:vAlign w:val="bottom"/>
          </w:tcPr>
          <w:p>
            <w:pPr>
              <w:jc w:val="right"/>
              <w:spacing w:after="0"/>
              <w:rPr>
                <w:sz w:val="20"/>
                <w:szCs w:val="20"/>
                <w:color w:val="auto"/>
              </w:rPr>
            </w:pPr>
            <w:r>
              <w:rPr>
                <w:rFonts w:ascii="Arial" w:cs="Arial" w:eastAsia="Arial" w:hAnsi="Arial"/>
                <w:sz w:val="20"/>
                <w:szCs w:val="20"/>
                <w:color w:val="2C2C2C"/>
              </w:rPr>
              <w:t>58,396</w:t>
            </w:r>
          </w:p>
        </w:tc>
        <w:tc>
          <w:tcPr>
            <w:tcW w:w="1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2C2C2C"/>
                <w:w w:val="89"/>
              </w:rPr>
              <w:t>$</w:t>
            </w:r>
          </w:p>
        </w:tc>
        <w:tc>
          <w:tcPr>
            <w:tcW w:w="960" w:type="dxa"/>
            <w:vAlign w:val="bottom"/>
          </w:tcPr>
          <w:p>
            <w:pPr>
              <w:jc w:val="right"/>
              <w:spacing w:after="0"/>
              <w:rPr>
                <w:sz w:val="20"/>
                <w:szCs w:val="20"/>
                <w:color w:val="auto"/>
              </w:rPr>
            </w:pPr>
            <w:r>
              <w:rPr>
                <w:rFonts w:ascii="Arial" w:cs="Arial" w:eastAsia="Arial" w:hAnsi="Arial"/>
                <w:sz w:val="20"/>
                <w:szCs w:val="20"/>
                <w:color w:val="2C2C2C"/>
              </w:rPr>
              <w:t>69,613</w:t>
            </w:r>
          </w:p>
        </w:tc>
        <w:tc>
          <w:tcPr>
            <w:tcW w:w="1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2C2C2C"/>
                <w:w w:val="89"/>
              </w:rPr>
              <w:t>$</w:t>
            </w:r>
          </w:p>
        </w:tc>
        <w:tc>
          <w:tcPr>
            <w:tcW w:w="940" w:type="dxa"/>
            <w:vAlign w:val="bottom"/>
          </w:tcPr>
          <w:p>
            <w:pPr>
              <w:jc w:val="right"/>
              <w:spacing w:after="0"/>
              <w:rPr>
                <w:sz w:val="20"/>
                <w:szCs w:val="20"/>
                <w:color w:val="auto"/>
              </w:rPr>
            </w:pPr>
            <w:r>
              <w:rPr>
                <w:rFonts w:ascii="Arial" w:cs="Arial" w:eastAsia="Arial" w:hAnsi="Arial"/>
                <w:sz w:val="20"/>
                <w:szCs w:val="20"/>
                <w:color w:val="2C2C2C"/>
              </w:rPr>
              <w:t>215,859</w:t>
            </w:r>
          </w:p>
        </w:tc>
        <w:tc>
          <w:tcPr>
            <w:tcW w:w="1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2C2C2C"/>
                <w:w w:val="89"/>
              </w:rPr>
              <w:t>$</w:t>
            </w:r>
          </w:p>
        </w:tc>
        <w:tc>
          <w:tcPr>
            <w:tcW w:w="960" w:type="dxa"/>
            <w:vAlign w:val="bottom"/>
          </w:tcPr>
          <w:p>
            <w:pPr>
              <w:jc w:val="right"/>
              <w:spacing w:after="0"/>
              <w:rPr>
                <w:sz w:val="20"/>
                <w:szCs w:val="20"/>
                <w:color w:val="auto"/>
              </w:rPr>
            </w:pPr>
            <w:r>
              <w:rPr>
                <w:rFonts w:ascii="Arial" w:cs="Arial" w:eastAsia="Arial" w:hAnsi="Arial"/>
                <w:sz w:val="20"/>
                <w:szCs w:val="20"/>
                <w:color w:val="2C2C2C"/>
              </w:rPr>
              <w:t>191,991</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 w:right="840" w:firstLine="6"/>
        <w:spacing w:after="0" w:line="224" w:lineRule="auto"/>
        <w:tabs>
          <w:tab w:leader="none" w:pos="193" w:val="left"/>
        </w:tabs>
        <w:numPr>
          <w:ilvl w:val="0"/>
          <w:numId w:val="7"/>
        </w:numPr>
        <w:rPr>
          <w:rFonts w:ascii="Arial" w:cs="Arial" w:eastAsia="Arial" w:hAnsi="Arial"/>
          <w:sz w:val="20"/>
          <w:szCs w:val="20"/>
          <w:color w:val="2C2C2C"/>
          <w:vertAlign w:val="superscript"/>
        </w:rPr>
      </w:pPr>
      <w:r>
        <w:rPr>
          <w:rFonts w:ascii="Arial" w:cs="Arial" w:eastAsia="Arial" w:hAnsi="Arial"/>
          <w:sz w:val="15"/>
          <w:szCs w:val="15"/>
          <w:color w:val="2C2C2C"/>
        </w:rPr>
        <w:t>Transaction and digital transformation costs include advisory, legal, accounting, valuation, and other professional or consulting fees incurred during our evaluation of or in connection with acquisitions and divestitures as well as costs associated with strategic digital transformation efforts. These costs are included in Selling, general and administrative expense in the unaudited Condensed Consolidated Statements of Income.</w:t>
      </w:r>
    </w:p>
    <w:p>
      <w:pPr>
        <w:spacing w:after="0" w:line="77" w:lineRule="exact"/>
        <w:rPr>
          <w:sz w:val="20"/>
          <w:szCs w:val="20"/>
          <w:color w:val="auto"/>
        </w:rPr>
      </w:pPr>
    </w:p>
    <w:p>
      <w:pPr>
        <w:spacing w:after="0" w:line="249" w:lineRule="auto"/>
        <w:rPr>
          <w:sz w:val="20"/>
          <w:szCs w:val="20"/>
          <w:color w:val="auto"/>
        </w:rPr>
      </w:pPr>
      <w:r>
        <w:rPr>
          <w:rFonts w:ascii="Arial" w:cs="Arial" w:eastAsia="Arial" w:hAnsi="Arial"/>
          <w:sz w:val="20"/>
          <w:szCs w:val="20"/>
          <w:color w:val="2C2C2C"/>
        </w:rPr>
        <w:t>Adjusted operating income, adjusted operating margin, adjusted earnings before interest, taxes, depreciation and amortization (EBITDA) and adjusted EBITDA margin are non-GAAP financial measures and operating ratios derived from non-GAAP measures. Adjusted operating income is defined as operating income excluding currency exchange gains / losses, restructuring charges, acquisition-related amortization, and transaction and digital transformation costs. Adjusted operating margin is defined as adjusted operating income divided by net sales to external customers. Adjusted EBITDA is defined as adjusted operating income plus depreciation and amortization, and adjusted EBITDA margin is defined as adjusted EBITDA divided by net sales to external customers. These metrics are consistent with how management evaluates segment results and makes strategic decisions about the business. Additionally, these non-GAAP financial measures provide information useful to investors in understanding our operating performance and trends, and to facilitate comparisons with the performance of our peers. Adjusted operating income, adjusted operating margin, adjusted EBITDA and adjusted EBITDA margin are not recognized terms under GAAP, and therefore do not purport to be alternatives to operating income or operating margin as a measure of operating performance. The company's definition of adjusted operating income, adjusted operating margin, adjusted EBITDA and adjusted EBITDA margin may not be comparable to similarly titled measures of other companies. As such, management believes that it is appropriate to consider operating income and net income determined on a GAAP basis in addition to these non-GAAP measures.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220"/>
          </w:cols>
          <w:pgMar w:left="320" w:top="127" w:right="35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color w:val="242424"/>
        </w:rPr>
        <w:t>11</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C2C2C"/>
        </w:rPr>
        <w:t>Reconciliation of Non-GAAP Financial Measures</w:t>
      </w:r>
    </w:p>
    <w:p>
      <w:pPr>
        <w:spacing w:after="0"/>
        <w:rPr>
          <w:sz w:val="20"/>
          <w:szCs w:val="20"/>
          <w:color w:val="auto"/>
        </w:rPr>
      </w:pPr>
      <w:r>
        <w:rPr>
          <w:rFonts w:ascii="Arial" w:cs="Arial" w:eastAsia="Arial" w:hAnsi="Arial"/>
          <w:sz w:val="20"/>
          <w:szCs w:val="20"/>
          <w:color w:val="2C2C2C"/>
        </w:rPr>
        <w:t>Adjusted earnings (Unaudited)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2C2C2C"/>
        </w:rPr>
        <w:t>Adjusted diluted earnings per share (Unaudited)</w:t>
      </w:r>
    </w:p>
    <w:p>
      <w:pPr>
        <w:spacing w:after="0"/>
        <w:rPr>
          <w:sz w:val="20"/>
          <w:szCs w:val="20"/>
          <w:color w:val="auto"/>
        </w:rPr>
      </w:pPr>
      <w:r>
        <w:rPr>
          <w:rFonts w:ascii="Arial" w:cs="Arial" w:eastAsia="Arial" w:hAnsi="Arial"/>
          <w:sz w:val="20"/>
          <w:szCs w:val="20"/>
          <w:color w:val="2C2C2C"/>
        </w:rPr>
        <w:t>(In thousands, except per share amounts and percentages)</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4"/>
          </w:tcPr>
          <w:p>
            <w:pPr>
              <w:jc w:val="right"/>
              <w:ind w:right="121"/>
              <w:spacing w:after="0"/>
              <w:rPr>
                <w:sz w:val="20"/>
                <w:szCs w:val="20"/>
                <w:color w:val="auto"/>
              </w:rPr>
            </w:pPr>
            <w:r>
              <w:rPr>
                <w:rFonts w:ascii="Arial" w:cs="Arial" w:eastAsia="Arial" w:hAnsi="Arial"/>
                <w:sz w:val="20"/>
                <w:szCs w:val="20"/>
                <w:color w:val="2C2C2C"/>
                <w:w w:val="99"/>
              </w:rPr>
              <w:t>Three Months Ended</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4"/>
          </w:tcPr>
          <w:p>
            <w:pPr>
              <w:jc w:val="right"/>
              <w:ind w:right="181"/>
              <w:spacing w:after="0"/>
              <w:rPr>
                <w:sz w:val="20"/>
                <w:szCs w:val="20"/>
                <w:color w:val="auto"/>
              </w:rPr>
            </w:pPr>
            <w:r>
              <w:rPr>
                <w:rFonts w:ascii="Arial" w:cs="Arial" w:eastAsia="Arial" w:hAnsi="Arial"/>
                <w:sz w:val="20"/>
                <w:szCs w:val="20"/>
                <w:color w:val="2C2C2C"/>
              </w:rPr>
              <w:t>Nine Months Ended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20"/>
                <w:szCs w:val="20"/>
                <w:color w:val="2C2C2C"/>
              </w:rPr>
              <w:t>September 30,</w:t>
            </w:r>
          </w:p>
        </w:tc>
        <w:tc>
          <w:tcPr>
            <w:tcW w:w="1040" w:type="dxa"/>
            <w:vAlign w:val="bottom"/>
            <w:gridSpan w:val="2"/>
            <w:vMerge w:val="restart"/>
          </w:tcPr>
          <w:p>
            <w:pPr>
              <w:jc w:val="center"/>
              <w:ind w:left="21"/>
              <w:spacing w:after="0"/>
              <w:rPr>
                <w:sz w:val="20"/>
                <w:szCs w:val="20"/>
                <w:color w:val="auto"/>
              </w:rPr>
            </w:pPr>
            <w:r>
              <w:rPr>
                <w:rFonts w:ascii="Arial" w:cs="Arial" w:eastAsia="Arial" w:hAnsi="Arial"/>
                <w:sz w:val="20"/>
                <w:szCs w:val="20"/>
                <w:color w:val="2C2C2C"/>
                <w:w w:val="89"/>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20"/>
                <w:szCs w:val="20"/>
                <w:color w:val="2C2C2C"/>
              </w:rPr>
              <w:t>September 30,</w:t>
            </w:r>
          </w:p>
        </w:tc>
        <w:tc>
          <w:tcPr>
            <w:tcW w:w="1040" w:type="dxa"/>
            <w:vAlign w:val="bottom"/>
            <w:gridSpan w:val="2"/>
            <w:vMerge w:val="restart"/>
          </w:tcPr>
          <w:p>
            <w:pPr>
              <w:jc w:val="center"/>
              <w:ind w:left="41"/>
              <w:spacing w:after="0"/>
              <w:rPr>
                <w:sz w:val="20"/>
                <w:szCs w:val="20"/>
                <w:color w:val="auto"/>
              </w:rPr>
            </w:pPr>
            <w:r>
              <w:rPr>
                <w:rFonts w:ascii="Arial" w:cs="Arial" w:eastAsia="Arial" w:hAnsi="Arial"/>
                <w:sz w:val="20"/>
                <w:szCs w:val="20"/>
                <w:color w:val="2C2C2C"/>
              </w:rPr>
              <w:t>%</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01"/>
              <w:spacing w:after="0"/>
              <w:rPr>
                <w:sz w:val="20"/>
                <w:szCs w:val="20"/>
                <w:color w:val="auto"/>
              </w:rPr>
            </w:pPr>
            <w:r>
              <w:rPr>
                <w:rFonts w:ascii="Arial" w:cs="Arial" w:eastAsia="Arial" w:hAnsi="Arial"/>
                <w:sz w:val="20"/>
                <w:szCs w:val="20"/>
                <w:color w:val="2C2C2C"/>
              </w:rPr>
              <w:t>2026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20"/>
                <w:szCs w:val="20"/>
                <w:color w:val="2C2C2C"/>
              </w:rPr>
              <w:t>2025</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221"/>
              <w:spacing w:after="0"/>
              <w:rPr>
                <w:sz w:val="20"/>
                <w:szCs w:val="20"/>
                <w:color w:val="auto"/>
              </w:rPr>
            </w:pPr>
            <w:r>
              <w:rPr>
                <w:rFonts w:ascii="Arial" w:cs="Arial" w:eastAsia="Arial" w:hAnsi="Arial"/>
                <w:sz w:val="20"/>
                <w:szCs w:val="20"/>
                <w:color w:val="2C2C2C"/>
              </w:rPr>
              <w:t>2026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221"/>
              <w:spacing w:after="0"/>
              <w:rPr>
                <w:sz w:val="20"/>
                <w:szCs w:val="20"/>
                <w:color w:val="auto"/>
              </w:rPr>
            </w:pPr>
            <w:r>
              <w:rPr>
                <w:rFonts w:ascii="Arial" w:cs="Arial" w:eastAsia="Arial" w:hAnsi="Arial"/>
                <w:sz w:val="20"/>
                <w:szCs w:val="20"/>
                <w:color w:val="2C2C2C"/>
              </w:rPr>
              <w:t>2025</w:t>
            </w: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2C2C2C"/>
              </w:rPr>
              <w:t>Change</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2C2C2C"/>
              </w:rPr>
              <w:t>Change</w:t>
            </w:r>
          </w:p>
        </w:tc>
        <w:tc>
          <w:tcPr>
            <w:tcW w:w="0" w:type="dxa"/>
            <w:vAlign w:val="bottom"/>
          </w:tcPr>
          <w:p>
            <w:pPr>
              <w:spacing w:after="0"/>
              <w:rPr>
                <w:sz w:val="1"/>
                <w:szCs w:val="1"/>
                <w:color w:val="auto"/>
              </w:rPr>
            </w:pPr>
          </w:p>
        </w:tc>
      </w:tr>
      <w:tr>
        <w:trPr>
          <w:trHeight w:val="436"/>
        </w:trPr>
        <w:tc>
          <w:tcPr>
            <w:tcW w:w="4440" w:type="dxa"/>
            <w:vAlign w:val="bottom"/>
          </w:tcPr>
          <w:p>
            <w:pPr>
              <w:spacing w:after="0"/>
              <w:rPr>
                <w:sz w:val="20"/>
                <w:szCs w:val="20"/>
                <w:color w:val="auto"/>
              </w:rPr>
            </w:pPr>
            <w:r>
              <w:rPr>
                <w:rFonts w:ascii="Arial" w:cs="Arial" w:eastAsia="Arial" w:hAnsi="Arial"/>
                <w:sz w:val="20"/>
                <w:szCs w:val="20"/>
                <w:color w:val="2C2C2C"/>
              </w:rPr>
              <w:t>Net income</w:t>
            </w:r>
          </w:p>
        </w:tc>
        <w:tc>
          <w:tcPr>
            <w:tcW w:w="180" w:type="dxa"/>
            <w:vAlign w:val="bottom"/>
          </w:tcPr>
          <w:p>
            <w:pPr>
              <w:jc w:val="right"/>
              <w:spacing w:after="0"/>
              <w:rPr>
                <w:sz w:val="20"/>
                <w:szCs w:val="20"/>
                <w:color w:val="auto"/>
              </w:rPr>
            </w:pPr>
            <w:r>
              <w:rPr>
                <w:rFonts w:ascii="Arial" w:cs="Arial" w:eastAsia="Arial" w:hAnsi="Arial"/>
                <w:sz w:val="20"/>
                <w:szCs w:val="20"/>
                <w:color w:val="2C2C2C"/>
              </w:rPr>
              <w:t>$</w:t>
            </w:r>
          </w:p>
        </w:tc>
        <w:tc>
          <w:tcPr>
            <w:tcW w:w="880" w:type="dxa"/>
            <w:vAlign w:val="bottom"/>
          </w:tcPr>
          <w:p>
            <w:pPr>
              <w:jc w:val="right"/>
              <w:spacing w:after="0"/>
              <w:rPr>
                <w:sz w:val="20"/>
                <w:szCs w:val="20"/>
                <w:color w:val="auto"/>
              </w:rPr>
            </w:pPr>
            <w:r>
              <w:rPr>
                <w:rFonts w:ascii="Arial" w:cs="Arial" w:eastAsia="Arial" w:hAnsi="Arial"/>
                <w:sz w:val="20"/>
                <w:szCs w:val="20"/>
                <w:color w:val="2C2C2C"/>
              </w:rPr>
              <w:t>58,396</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C2C2C"/>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69,613</w:t>
            </w:r>
          </w:p>
        </w:tc>
        <w:tc>
          <w:tcPr>
            <w:tcW w:w="1040" w:type="dxa"/>
            <w:vAlign w:val="bottom"/>
            <w:gridSpan w:val="2"/>
          </w:tcPr>
          <w:p>
            <w:pPr>
              <w:jc w:val="center"/>
              <w:ind w:left="21"/>
              <w:spacing w:after="0"/>
              <w:rPr>
                <w:sz w:val="20"/>
                <w:szCs w:val="20"/>
                <w:color w:val="auto"/>
              </w:rPr>
            </w:pPr>
            <w:r>
              <w:rPr>
                <w:rFonts w:ascii="Arial" w:cs="Arial" w:eastAsia="Arial" w:hAnsi="Arial"/>
                <w:sz w:val="20"/>
                <w:szCs w:val="20"/>
                <w:color w:val="2C2C2C"/>
                <w:w w:val="97"/>
              </w:rPr>
              <w:t>(16)%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2C2C2C"/>
              </w:rPr>
              <w:t>$</w:t>
            </w:r>
          </w:p>
        </w:tc>
        <w:tc>
          <w:tcPr>
            <w:tcW w:w="880" w:type="dxa"/>
            <w:vAlign w:val="bottom"/>
          </w:tcPr>
          <w:p>
            <w:pPr>
              <w:jc w:val="right"/>
              <w:spacing w:after="0"/>
              <w:rPr>
                <w:sz w:val="20"/>
                <w:szCs w:val="20"/>
                <w:color w:val="auto"/>
              </w:rPr>
            </w:pPr>
            <w:r>
              <w:rPr>
                <w:rFonts w:ascii="Arial" w:cs="Arial" w:eastAsia="Arial" w:hAnsi="Arial"/>
                <w:sz w:val="20"/>
                <w:szCs w:val="20"/>
                <w:color w:val="2C2C2C"/>
              </w:rPr>
              <w:t>215,859</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880" w:type="dxa"/>
            <w:vAlign w:val="bottom"/>
          </w:tcPr>
          <w:p>
            <w:pPr>
              <w:jc w:val="right"/>
              <w:spacing w:after="0"/>
              <w:rPr>
                <w:sz w:val="20"/>
                <w:szCs w:val="20"/>
                <w:color w:val="auto"/>
              </w:rPr>
            </w:pPr>
            <w:r>
              <w:rPr>
                <w:rFonts w:ascii="Arial" w:cs="Arial" w:eastAsia="Arial" w:hAnsi="Arial"/>
                <w:sz w:val="20"/>
                <w:szCs w:val="20"/>
                <w:color w:val="2C2C2C"/>
              </w:rPr>
              <w:t>191,991</w:t>
            </w:r>
          </w:p>
        </w:tc>
        <w:tc>
          <w:tcPr>
            <w:tcW w:w="1040" w:type="dxa"/>
            <w:vAlign w:val="bottom"/>
            <w:gridSpan w:val="2"/>
          </w:tcPr>
          <w:p>
            <w:pPr>
              <w:jc w:val="center"/>
              <w:ind w:left="21"/>
              <w:spacing w:after="0"/>
              <w:rPr>
                <w:sz w:val="20"/>
                <w:szCs w:val="20"/>
                <w:color w:val="auto"/>
              </w:rPr>
            </w:pPr>
            <w:r>
              <w:rPr>
                <w:rFonts w:ascii="Arial" w:cs="Arial" w:eastAsia="Arial" w:hAnsi="Arial"/>
                <w:sz w:val="20"/>
                <w:szCs w:val="20"/>
                <w:color w:val="2C2C2C"/>
                <w:w w:val="99"/>
              </w:rPr>
              <w:t>12%</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20"/>
                <w:szCs w:val="20"/>
                <w:color w:val="2C2C2C"/>
              </w:rPr>
              <w:t>Currency exchange losses,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1,876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3,875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3,971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13,237</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0"/>
                <w:szCs w:val="20"/>
                <w:color w:val="auto"/>
              </w:rPr>
            </w:pPr>
            <w:r>
              <w:rPr>
                <w:rFonts w:ascii="Arial" w:cs="Arial" w:eastAsia="Arial" w:hAnsi="Arial"/>
                <w:sz w:val="20"/>
                <w:szCs w:val="20"/>
                <w:color w:val="2C2C2C"/>
              </w:rPr>
              <w:t>Restructuring charges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1,780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58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6,318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2,470</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Arial" w:cs="Arial" w:eastAsia="Arial" w:hAnsi="Arial"/>
                <w:sz w:val="20"/>
                <w:szCs w:val="20"/>
                <w:color w:val="2C2C2C"/>
              </w:rPr>
              <w:t>Acquisition-related amortization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8,072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3,595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14,841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9,033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440" w:type="dxa"/>
            <w:vAlign w:val="bottom"/>
          </w:tcPr>
          <w:p>
            <w:pPr>
              <w:spacing w:after="0" w:line="278" w:lineRule="exact"/>
              <w:rPr>
                <w:sz w:val="20"/>
                <w:szCs w:val="20"/>
                <w:color w:val="auto"/>
              </w:rPr>
            </w:pPr>
            <w:r>
              <w:rPr>
                <w:rFonts w:ascii="Arial" w:cs="Arial" w:eastAsia="Arial" w:hAnsi="Arial"/>
                <w:sz w:val="20"/>
                <w:szCs w:val="20"/>
                <w:color w:val="2C2C2C"/>
              </w:rPr>
              <w:t xml:space="preserve">Transaction and digital transformation costs </w:t>
            </w:r>
            <w:r>
              <w:rPr>
                <w:rFonts w:ascii="Arial" w:cs="Arial" w:eastAsia="Arial" w:hAnsi="Arial"/>
                <w:sz w:val="25"/>
                <w:szCs w:val="25"/>
                <w:color w:val="2C2C2C"/>
                <w:vertAlign w:val="superscript"/>
              </w:rPr>
              <w:t>(a)</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14,967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1,903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18,831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10,002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440" w:type="dxa"/>
            <w:vAlign w:val="bottom"/>
          </w:tcPr>
          <w:p>
            <w:pPr>
              <w:spacing w:after="0"/>
              <w:rPr>
                <w:sz w:val="20"/>
                <w:szCs w:val="20"/>
                <w:color w:val="auto"/>
              </w:rPr>
            </w:pPr>
            <w:r>
              <w:rPr>
                <w:rFonts w:ascii="Arial" w:cs="Arial" w:eastAsia="Arial" w:hAnsi="Arial"/>
                <w:sz w:val="20"/>
                <w:szCs w:val="20"/>
                <w:color w:val="2C2C2C"/>
              </w:rPr>
              <w:t>Asset related losses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249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97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637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989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0"/>
                <w:szCs w:val="20"/>
                <w:color w:val="auto"/>
              </w:rPr>
            </w:pPr>
            <w:r>
              <w:rPr>
                <w:rFonts w:ascii="Arial" w:cs="Arial" w:eastAsia="Arial" w:hAnsi="Arial"/>
                <w:sz w:val="20"/>
                <w:szCs w:val="20"/>
                <w:color w:val="2C2C2C"/>
              </w:rPr>
              <w:t>Pension settlement</w:t>
            </w: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2C2C2C"/>
              </w:rPr>
              <w:t>—</w:t>
            </w:r>
          </w:p>
        </w:tc>
        <w:tc>
          <w:tcPr>
            <w:tcW w:w="22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2C2C2C"/>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721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Arial" w:cs="Arial" w:eastAsia="Arial" w:hAnsi="Arial"/>
                <w:sz w:val="20"/>
                <w:szCs w:val="20"/>
                <w:color w:val="2C2C2C"/>
              </w:rPr>
              <w:t>Income tax expense on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(4,693)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C2C2C"/>
              </w:rPr>
              <w:t>(2,949)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(9,301)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(9,885)</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40" w:type="dxa"/>
            <w:vAlign w:val="bottom"/>
            <w:vMerge w:val="restart"/>
          </w:tcPr>
          <w:p>
            <w:pPr>
              <w:spacing w:after="0"/>
              <w:rPr>
                <w:sz w:val="20"/>
                <w:szCs w:val="20"/>
                <w:color w:val="auto"/>
              </w:rPr>
            </w:pPr>
            <w:r>
              <w:rPr>
                <w:rFonts w:ascii="Arial" w:cs="Arial" w:eastAsia="Arial" w:hAnsi="Arial"/>
                <w:sz w:val="20"/>
                <w:szCs w:val="20"/>
                <w:color w:val="2C2C2C"/>
              </w:rPr>
              <w:t>Adjusted earnings</w:t>
            </w: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444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C2C2C"/>
              </w:rPr>
              <w:t>$</w:t>
            </w:r>
          </w:p>
        </w:tc>
        <w:tc>
          <w:tcPr>
            <w:tcW w:w="880" w:type="dxa"/>
            <w:vAlign w:val="bottom"/>
          </w:tcPr>
          <w:p>
            <w:pPr>
              <w:jc w:val="right"/>
              <w:spacing w:after="0"/>
              <w:rPr>
                <w:sz w:val="20"/>
                <w:szCs w:val="20"/>
                <w:color w:val="auto"/>
              </w:rPr>
            </w:pPr>
            <w:r>
              <w:rPr>
                <w:rFonts w:ascii="Arial" w:cs="Arial" w:eastAsia="Arial" w:hAnsi="Arial"/>
                <w:sz w:val="20"/>
                <w:szCs w:val="20"/>
                <w:color w:val="2C2C2C"/>
              </w:rPr>
              <w:t>80,647</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C2C2C"/>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76,192</w:t>
            </w:r>
          </w:p>
        </w:tc>
        <w:tc>
          <w:tcPr>
            <w:tcW w:w="1040" w:type="dxa"/>
            <w:vAlign w:val="bottom"/>
            <w:gridSpan w:val="2"/>
          </w:tcPr>
          <w:p>
            <w:pPr>
              <w:jc w:val="center"/>
              <w:ind w:left="21"/>
              <w:spacing w:after="0"/>
              <w:rPr>
                <w:sz w:val="20"/>
                <w:szCs w:val="20"/>
                <w:color w:val="auto"/>
              </w:rPr>
            </w:pPr>
            <w:r>
              <w:rPr>
                <w:rFonts w:ascii="Arial" w:cs="Arial" w:eastAsia="Arial" w:hAnsi="Arial"/>
                <w:sz w:val="20"/>
                <w:szCs w:val="20"/>
                <w:color w:val="2C2C2C"/>
                <w:w w:val="96"/>
              </w:rPr>
              <w:t>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2C2C2C"/>
              </w:rPr>
              <w:t>$</w:t>
            </w:r>
          </w:p>
        </w:tc>
        <w:tc>
          <w:tcPr>
            <w:tcW w:w="880" w:type="dxa"/>
            <w:vAlign w:val="bottom"/>
          </w:tcPr>
          <w:p>
            <w:pPr>
              <w:jc w:val="right"/>
              <w:spacing w:after="0"/>
              <w:rPr>
                <w:sz w:val="20"/>
                <w:szCs w:val="20"/>
                <w:color w:val="auto"/>
              </w:rPr>
            </w:pPr>
            <w:r>
              <w:rPr>
                <w:rFonts w:ascii="Arial" w:cs="Arial" w:eastAsia="Arial" w:hAnsi="Arial"/>
                <w:sz w:val="20"/>
                <w:szCs w:val="20"/>
                <w:color w:val="2C2C2C"/>
              </w:rPr>
              <w:t>251,156</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2C2C2C"/>
                <w:w w:val="89"/>
              </w:rPr>
              <w:t>$</w:t>
            </w:r>
          </w:p>
        </w:tc>
        <w:tc>
          <w:tcPr>
            <w:tcW w:w="880" w:type="dxa"/>
            <w:vAlign w:val="bottom"/>
          </w:tcPr>
          <w:p>
            <w:pPr>
              <w:jc w:val="right"/>
              <w:spacing w:after="0"/>
              <w:rPr>
                <w:sz w:val="20"/>
                <w:szCs w:val="20"/>
                <w:color w:val="auto"/>
              </w:rPr>
            </w:pPr>
            <w:r>
              <w:rPr>
                <w:rFonts w:ascii="Arial" w:cs="Arial" w:eastAsia="Arial" w:hAnsi="Arial"/>
                <w:sz w:val="20"/>
                <w:szCs w:val="20"/>
                <w:color w:val="2C2C2C"/>
              </w:rPr>
              <w:t>218,558</w:t>
            </w:r>
          </w:p>
        </w:tc>
        <w:tc>
          <w:tcPr>
            <w:tcW w:w="1040" w:type="dxa"/>
            <w:vAlign w:val="bottom"/>
            <w:gridSpan w:val="2"/>
          </w:tcPr>
          <w:p>
            <w:pPr>
              <w:jc w:val="center"/>
              <w:ind w:left="21"/>
              <w:spacing w:after="0"/>
              <w:rPr>
                <w:sz w:val="20"/>
                <w:szCs w:val="20"/>
                <w:color w:val="auto"/>
              </w:rPr>
            </w:pPr>
            <w:r>
              <w:rPr>
                <w:rFonts w:ascii="Arial" w:cs="Arial" w:eastAsia="Arial" w:hAnsi="Arial"/>
                <w:sz w:val="20"/>
                <w:szCs w:val="20"/>
                <w:color w:val="2C2C2C"/>
                <w:w w:val="99"/>
              </w:rPr>
              <w:t>15%</w:t>
            </w:r>
          </w:p>
        </w:tc>
        <w:tc>
          <w:tcPr>
            <w:tcW w:w="0" w:type="dxa"/>
            <w:vAlign w:val="bottom"/>
          </w:tcPr>
          <w:p>
            <w:pPr>
              <w:spacing w:after="0"/>
              <w:rPr>
                <w:sz w:val="1"/>
                <w:szCs w:val="1"/>
                <w:color w:val="auto"/>
              </w:rPr>
            </w:pPr>
          </w:p>
        </w:tc>
      </w:tr>
      <w:tr>
        <w:trPr>
          <w:trHeight w:val="44"/>
        </w:trPr>
        <w:tc>
          <w:tcPr>
            <w:tcW w:w="4440" w:type="dxa"/>
            <w:vAlign w:val="bottom"/>
            <w:vMerge w:val="restart"/>
          </w:tcPr>
          <w:p>
            <w:pPr>
              <w:spacing w:after="0"/>
              <w:rPr>
                <w:sz w:val="20"/>
                <w:szCs w:val="20"/>
                <w:color w:val="auto"/>
              </w:rPr>
            </w:pPr>
            <w:r>
              <w:rPr>
                <w:rFonts w:ascii="Arial" w:cs="Arial" w:eastAsia="Arial" w:hAnsi="Arial"/>
                <w:sz w:val="20"/>
                <w:szCs w:val="20"/>
                <w:color w:val="2C2C2C"/>
              </w:rPr>
              <w:t>Adjusted diluted earnings per share</w:t>
            </w: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40" w:type="dxa"/>
            <w:vAlign w:val="bottom"/>
            <w:gridSpan w:val="2"/>
            <w:vMerge w:val="restart"/>
          </w:tcPr>
          <w:p>
            <w:pPr>
              <w:jc w:val="center"/>
              <w:ind w:left="21"/>
              <w:spacing w:after="0"/>
              <w:rPr>
                <w:sz w:val="20"/>
                <w:szCs w:val="20"/>
                <w:color w:val="auto"/>
              </w:rPr>
            </w:pPr>
            <w:r>
              <w:rPr>
                <w:rFonts w:ascii="Arial" w:cs="Arial" w:eastAsia="Arial" w:hAnsi="Arial"/>
                <w:sz w:val="20"/>
                <w:szCs w:val="20"/>
                <w:color w:val="2C2C2C"/>
                <w:w w:val="96"/>
              </w:rPr>
              <w:t>8%</w:t>
            </w: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5"/>
        </w:trPr>
        <w:tc>
          <w:tcPr>
            <w:tcW w:w="4440" w:type="dxa"/>
            <w:vAlign w:val="bottom"/>
            <w:vMerge w:val="continue"/>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2.09</w:t>
            </w:r>
          </w:p>
        </w:tc>
        <w:tc>
          <w:tcPr>
            <w:tcW w:w="14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2C2C2C"/>
              </w:rPr>
              <w:t>1.94</w:t>
            </w:r>
          </w:p>
        </w:tc>
        <w:tc>
          <w:tcPr>
            <w:tcW w:w="1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6.48</w:t>
            </w:r>
          </w:p>
        </w:tc>
        <w:tc>
          <w:tcPr>
            <w:tcW w:w="1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5.55</w:t>
            </w:r>
          </w:p>
        </w:tc>
        <w:tc>
          <w:tcPr>
            <w:tcW w:w="1040" w:type="dxa"/>
            <w:vAlign w:val="bottom"/>
            <w:gridSpan w:val="2"/>
          </w:tcPr>
          <w:p>
            <w:pPr>
              <w:jc w:val="center"/>
              <w:ind w:left="21"/>
              <w:spacing w:after="0"/>
              <w:rPr>
                <w:sz w:val="20"/>
                <w:szCs w:val="20"/>
                <w:color w:val="auto"/>
              </w:rPr>
            </w:pPr>
            <w:r>
              <w:rPr>
                <w:rFonts w:ascii="Arial" w:cs="Arial" w:eastAsia="Arial" w:hAnsi="Arial"/>
                <w:sz w:val="20"/>
                <w:szCs w:val="20"/>
                <w:color w:val="2C2C2C"/>
                <w:w w:val="99"/>
              </w:rPr>
              <w:t>17%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4440" w:type="dxa"/>
            <w:vAlign w:val="bottom"/>
          </w:tcPr>
          <w:p>
            <w:pPr>
              <w:spacing w:after="0"/>
              <w:rPr>
                <w:sz w:val="20"/>
                <w:szCs w:val="20"/>
                <w:color w:val="auto"/>
              </w:rPr>
            </w:pPr>
            <w:r>
              <w:rPr>
                <w:rFonts w:ascii="Arial" w:cs="Arial" w:eastAsia="Arial" w:hAnsi="Arial"/>
                <w:sz w:val="20"/>
                <w:szCs w:val="20"/>
                <w:color w:val="242424"/>
              </w:rPr>
              <w:t>Diluted shares outstanding</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38,647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2C2C2C"/>
              </w:rPr>
              <w:t>39,280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38,776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C2C2C"/>
              </w:rPr>
              <w:t>39,380</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 w:right="260" w:firstLine="6"/>
        <w:spacing w:after="0" w:line="224" w:lineRule="auto"/>
        <w:tabs>
          <w:tab w:leader="none" w:pos="193" w:val="left"/>
        </w:tabs>
        <w:numPr>
          <w:ilvl w:val="0"/>
          <w:numId w:val="8"/>
        </w:numPr>
        <w:rPr>
          <w:rFonts w:ascii="Arial" w:cs="Arial" w:eastAsia="Arial" w:hAnsi="Arial"/>
          <w:sz w:val="20"/>
          <w:szCs w:val="20"/>
          <w:color w:val="2C2C2C"/>
          <w:vertAlign w:val="superscript"/>
        </w:rPr>
      </w:pPr>
      <w:r>
        <w:rPr>
          <w:rFonts w:ascii="Arial" w:cs="Arial" w:eastAsia="Arial" w:hAnsi="Arial"/>
          <w:sz w:val="15"/>
          <w:szCs w:val="15"/>
          <w:color w:val="2C2C2C"/>
        </w:rPr>
        <w:t>Transaction and digital transformation costs include advisory, legal, accounting, valuation, and other professional or consulting fees incurred during our evaluation of or in connection with acquisitions and divestitures as well as costs associated with strategic digital transformation efforts. These costs are included in Selling, general and administrative expense in the unaudited Condensed Consolidated Statements of Income.</w:t>
      </w:r>
    </w:p>
    <w:p>
      <w:pPr>
        <w:spacing w:after="0" w:line="320" w:lineRule="exact"/>
        <w:rPr>
          <w:sz w:val="20"/>
          <w:szCs w:val="20"/>
          <w:color w:val="auto"/>
        </w:rPr>
      </w:pPr>
    </w:p>
    <w:p>
      <w:pPr>
        <w:spacing w:after="0" w:line="254" w:lineRule="auto"/>
        <w:rPr>
          <w:sz w:val="20"/>
          <w:szCs w:val="20"/>
          <w:color w:val="auto"/>
        </w:rPr>
      </w:pPr>
      <w:r>
        <w:rPr>
          <w:rFonts w:ascii="Arial" w:cs="Arial" w:eastAsia="Arial" w:hAnsi="Arial"/>
          <w:sz w:val="20"/>
          <w:szCs w:val="20"/>
          <w:color w:val="2C2C2C"/>
        </w:rPr>
        <w:t>Management believes that adjusted earnings and adjusted diluted earnings per share are useful measures for investors, as management uses these measures to internally assess the company’s performance and ongoing operating trends. There can be no assurances that additional special items will not occur in future periods, nor that MSA's definition of adjusted earnings is consistent with that of other companies. As such, management believes that it is appropriate to consider both net income determined on a GAAP basis as well as adjusted earnings.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666666"/>
        </w:rPr>
        <w:t>(more)</w:t>
      </w:r>
    </w:p>
    <w:p>
      <w:pPr>
        <w:sectPr>
          <w:pgSz w:w="11900" w:h="16838" w:orient="portrait"/>
          <w:cols w:equalWidth="0" w:num="1">
            <w:col w:w="11240"/>
          </w:cols>
          <w:pgMar w:left="320" w:top="127" w:right="339" w:bottom="1440" w:gutter="0" w:footer="0" w:header="0"/>
          <w:type w:val="continuous"/>
        </w:sectPr>
      </w:pPr>
    </w:p>
    <w:bookmarkStart w:id="15" w:name="page16"/>
    <w:bookmarkEnd w:id="15"/>
    <w:p>
      <w:pPr>
        <w:jc w:val="center"/>
        <w:ind w:right="-99"/>
        <w:spacing w:after="0"/>
        <w:rPr>
          <w:sz w:val="20"/>
          <w:szCs w:val="20"/>
          <w:color w:val="auto"/>
        </w:rPr>
      </w:pPr>
      <w:r>
        <w:rPr>
          <w:rFonts w:ascii="Arial" w:cs="Arial" w:eastAsia="Arial" w:hAnsi="Arial"/>
          <w:sz w:val="22"/>
          <w:szCs w:val="22"/>
          <w:color w:val="242424"/>
        </w:rPr>
        <w:t>12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2C2C2C"/>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C2C2C"/>
        </w:rPr>
        <w:t>Reconciliation of Non-GAAP Financial Measures</w:t>
      </w:r>
    </w:p>
    <w:p>
      <w:pPr>
        <w:spacing w:after="0"/>
        <w:rPr>
          <w:sz w:val="20"/>
          <w:szCs w:val="20"/>
          <w:color w:val="auto"/>
        </w:rPr>
      </w:pPr>
      <w:r>
        <w:rPr>
          <w:rFonts w:ascii="Arial" w:cs="Arial" w:eastAsia="Arial" w:hAnsi="Arial"/>
          <w:sz w:val="20"/>
          <w:szCs w:val="20"/>
          <w:color w:val="2C2C2C"/>
        </w:rPr>
        <w:t>Free Cash Flow (Unaudited)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2C2C2C"/>
        </w:rPr>
        <w:t>(In thousands, except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3520" w:type="dxa"/>
            <w:vAlign w:val="bottom"/>
            <w:gridSpan w:val="6"/>
            <w:vMerge w:val="restart"/>
          </w:tcPr>
          <w:p>
            <w:pPr>
              <w:ind w:left="120"/>
              <w:spacing w:after="0"/>
              <w:rPr>
                <w:sz w:val="20"/>
                <w:szCs w:val="20"/>
                <w:color w:val="auto"/>
              </w:rPr>
            </w:pPr>
            <w:r>
              <w:rPr>
                <w:rFonts w:ascii="Arial" w:cs="Arial" w:eastAsia="Arial" w:hAnsi="Arial"/>
                <w:sz w:val="20"/>
                <w:szCs w:val="20"/>
                <w:color w:val="2C2C2C"/>
              </w:rPr>
              <w:t>Three Months Ended September 30,</w:t>
            </w:r>
          </w:p>
        </w:tc>
        <w:tc>
          <w:tcPr>
            <w:tcW w:w="140" w:type="dxa"/>
            <w:vAlign w:val="bottom"/>
          </w:tcPr>
          <w:p>
            <w:pPr>
              <w:spacing w:after="0"/>
              <w:rPr>
                <w:sz w:val="19"/>
                <w:szCs w:val="19"/>
                <w:color w:val="auto"/>
              </w:rPr>
            </w:pPr>
          </w:p>
        </w:tc>
        <w:tc>
          <w:tcPr>
            <w:tcW w:w="2960" w:type="dxa"/>
            <w:vAlign w:val="bottom"/>
            <w:gridSpan w:val="5"/>
          </w:tcPr>
          <w:p>
            <w:pPr>
              <w:jc w:val="right"/>
              <w:ind w:right="81"/>
              <w:spacing w:after="0"/>
              <w:rPr>
                <w:sz w:val="20"/>
                <w:szCs w:val="20"/>
                <w:color w:val="auto"/>
              </w:rPr>
            </w:pPr>
            <w:r>
              <w:rPr>
                <w:rFonts w:ascii="Arial" w:cs="Arial" w:eastAsia="Arial" w:hAnsi="Arial"/>
                <w:sz w:val="20"/>
                <w:szCs w:val="20"/>
                <w:color w:val="2C2C2C"/>
                <w:w w:val="98"/>
              </w:rPr>
              <w:t>Nine Months Ended September</w:t>
            </w:r>
          </w:p>
        </w:tc>
        <w:tc>
          <w:tcPr>
            <w:tcW w:w="0" w:type="dxa"/>
            <w:vAlign w:val="bottom"/>
          </w:tcPr>
          <w:p>
            <w:pPr>
              <w:spacing w:after="0"/>
              <w:rPr>
                <w:sz w:val="1"/>
                <w:szCs w:val="1"/>
                <w:color w:val="auto"/>
              </w:rPr>
            </w:pPr>
          </w:p>
        </w:tc>
      </w:tr>
      <w:tr>
        <w:trPr>
          <w:trHeight w:val="251"/>
        </w:trPr>
        <w:tc>
          <w:tcPr>
            <w:tcW w:w="3540" w:type="dxa"/>
            <w:vAlign w:val="bottom"/>
          </w:tcPr>
          <w:p>
            <w:pPr>
              <w:spacing w:after="0"/>
              <w:rPr>
                <w:sz w:val="21"/>
                <w:szCs w:val="21"/>
                <w:color w:val="auto"/>
              </w:rPr>
            </w:pPr>
          </w:p>
        </w:tc>
        <w:tc>
          <w:tcPr>
            <w:tcW w:w="3520" w:type="dxa"/>
            <w:vAlign w:val="bottom"/>
            <w:gridSpan w:val="6"/>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gridSpan w:val="3"/>
          </w:tcPr>
          <w:p>
            <w:pPr>
              <w:jc w:val="right"/>
              <w:ind w:right="181"/>
              <w:spacing w:after="0"/>
              <w:rPr>
                <w:sz w:val="20"/>
                <w:szCs w:val="20"/>
                <w:color w:val="auto"/>
              </w:rPr>
            </w:pPr>
            <w:r>
              <w:rPr>
                <w:rFonts w:ascii="Arial" w:cs="Arial" w:eastAsia="Arial" w:hAnsi="Arial"/>
                <w:sz w:val="20"/>
                <w:szCs w:val="20"/>
                <w:color w:val="2C2C2C"/>
              </w:rPr>
              <w:t>30,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color w:val="2C2C2C"/>
              </w:rPr>
              <w:t>2026</w:t>
            </w:r>
          </w:p>
        </w:tc>
        <w:tc>
          <w:tcPr>
            <w:tcW w:w="1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color w:val="2C2C2C"/>
              </w:rPr>
              <w:t>2025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color w:val="2C2C2C"/>
              </w:rPr>
              <w:t>2026</w:t>
            </w:r>
          </w:p>
        </w:tc>
        <w:tc>
          <w:tcPr>
            <w:tcW w:w="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color w:val="2C2C2C"/>
              </w:rPr>
              <w:t>2025</w:t>
            </w:r>
          </w:p>
        </w:tc>
        <w:tc>
          <w:tcPr>
            <w:tcW w:w="0" w:type="dxa"/>
            <w:vAlign w:val="bottom"/>
          </w:tcPr>
          <w:p>
            <w:pPr>
              <w:spacing w:after="0"/>
              <w:rPr>
                <w:sz w:val="1"/>
                <w:szCs w:val="1"/>
                <w:color w:val="auto"/>
              </w:rPr>
            </w:pPr>
          </w:p>
        </w:tc>
      </w:tr>
      <w:tr>
        <w:trPr>
          <w:trHeight w:val="518"/>
        </w:trPr>
        <w:tc>
          <w:tcPr>
            <w:tcW w:w="3540" w:type="dxa"/>
            <w:vAlign w:val="bottom"/>
          </w:tcPr>
          <w:p>
            <w:pPr>
              <w:spacing w:after="0"/>
              <w:rPr>
                <w:sz w:val="20"/>
                <w:szCs w:val="20"/>
                <w:color w:val="auto"/>
              </w:rPr>
            </w:pPr>
            <w:r>
              <w:rPr>
                <w:rFonts w:ascii="Arial" w:cs="Arial" w:eastAsia="Arial" w:hAnsi="Arial"/>
                <w:sz w:val="20"/>
                <w:szCs w:val="20"/>
                <w:color w:val="2C2C2C"/>
              </w:rPr>
              <w:t>Cash flow from operating activities</w:t>
            </w:r>
          </w:p>
        </w:tc>
        <w:tc>
          <w:tcPr>
            <w:tcW w:w="360" w:type="dxa"/>
            <w:vAlign w:val="bottom"/>
          </w:tcPr>
          <w:p>
            <w:pPr>
              <w:jc w:val="right"/>
              <w:ind w:right="141"/>
              <w:spacing w:after="0"/>
              <w:rPr>
                <w:sz w:val="20"/>
                <w:szCs w:val="20"/>
                <w:color w:val="auto"/>
              </w:rPr>
            </w:pPr>
            <w:r>
              <w:rPr>
                <w:rFonts w:ascii="Arial" w:cs="Arial" w:eastAsia="Arial" w:hAnsi="Arial"/>
                <w:sz w:val="20"/>
                <w:szCs w:val="20"/>
                <w:color w:val="2C2C2C"/>
                <w:w w:val="89"/>
              </w:rPr>
              <w:t>$</w:t>
            </w:r>
          </w:p>
        </w:tc>
        <w:tc>
          <w:tcPr>
            <w:tcW w:w="1300" w:type="dxa"/>
            <w:vAlign w:val="bottom"/>
          </w:tcPr>
          <w:p>
            <w:pPr>
              <w:jc w:val="right"/>
              <w:ind w:right="21"/>
              <w:spacing w:after="0"/>
              <w:rPr>
                <w:sz w:val="20"/>
                <w:szCs w:val="20"/>
                <w:color w:val="auto"/>
              </w:rPr>
            </w:pPr>
            <w:r>
              <w:rPr>
                <w:rFonts w:ascii="Arial" w:cs="Arial" w:eastAsia="Arial" w:hAnsi="Arial"/>
                <w:sz w:val="20"/>
                <w:szCs w:val="20"/>
                <w:color w:val="2C2C2C"/>
              </w:rPr>
              <w:t>82,312</w:t>
            </w:r>
          </w:p>
        </w:tc>
        <w:tc>
          <w:tcPr>
            <w:tcW w:w="18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2C2C2C"/>
                <w:w w:val="89"/>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2C2C2C"/>
              </w:rPr>
              <w:t>112,462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2C2C2C"/>
              </w:rPr>
              <w:t>$</w:t>
            </w:r>
          </w:p>
        </w:tc>
        <w:tc>
          <w:tcPr>
            <w:tcW w:w="1240" w:type="dxa"/>
            <w:vAlign w:val="bottom"/>
          </w:tcPr>
          <w:p>
            <w:pPr>
              <w:jc w:val="right"/>
              <w:spacing w:after="0"/>
              <w:rPr>
                <w:sz w:val="20"/>
                <w:szCs w:val="20"/>
                <w:color w:val="auto"/>
              </w:rPr>
            </w:pPr>
            <w:r>
              <w:rPr>
                <w:rFonts w:ascii="Arial" w:cs="Arial" w:eastAsia="Arial" w:hAnsi="Arial"/>
                <w:sz w:val="20"/>
                <w:szCs w:val="20"/>
                <w:color w:val="2C2C2C"/>
              </w:rPr>
              <w:t>253,375</w:t>
            </w:r>
          </w:p>
        </w:tc>
        <w:tc>
          <w:tcPr>
            <w:tcW w:w="580" w:type="dxa"/>
            <w:vAlign w:val="bottom"/>
            <w:gridSpan w:val="3"/>
          </w:tcPr>
          <w:p>
            <w:pPr>
              <w:jc w:val="right"/>
              <w:ind w:right="101"/>
              <w:spacing w:after="0"/>
              <w:rPr>
                <w:sz w:val="20"/>
                <w:szCs w:val="20"/>
                <w:color w:val="auto"/>
              </w:rPr>
            </w:pPr>
            <w:r>
              <w:rPr>
                <w:rFonts w:ascii="Arial" w:cs="Arial" w:eastAsia="Arial" w:hAnsi="Arial"/>
                <w:sz w:val="20"/>
                <w:szCs w:val="20"/>
                <w:color w:val="2C2C2C"/>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2C2C2C"/>
              </w:rPr>
              <w:t>241,513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20"/>
                <w:szCs w:val="20"/>
                <w:color w:val="2C2C2C"/>
              </w:rPr>
              <w:t>Capital expenditures</w:t>
            </w: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2C2C2C"/>
              </w:rPr>
              <w:t>(14,128)</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2C2C2C"/>
              </w:rPr>
              <w:t>(11,986)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(37,388)</w:t>
            </w:r>
          </w:p>
        </w:tc>
        <w:tc>
          <w:tcPr>
            <w:tcW w:w="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(52,104)</w:t>
            </w: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0"/>
                <w:szCs w:val="20"/>
                <w:color w:val="auto"/>
              </w:rPr>
            </w:pPr>
            <w:r>
              <w:rPr>
                <w:rFonts w:ascii="Arial" w:cs="Arial" w:eastAsia="Arial" w:hAnsi="Arial"/>
                <w:sz w:val="20"/>
                <w:szCs w:val="20"/>
                <w:color w:val="2C2C2C"/>
              </w:rPr>
              <w:t>Free cash flow</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2C2C2C"/>
                <w:w w:val="89"/>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2C2C2C"/>
              </w:rPr>
              <w:t>68,184</w:t>
            </w:r>
          </w:p>
        </w:tc>
        <w:tc>
          <w:tcPr>
            <w:tcW w:w="180" w:type="dxa"/>
            <w:vAlign w:val="bottom"/>
          </w:tcPr>
          <w:p>
            <w:pPr>
              <w:spacing w:after="0"/>
              <w:rPr>
                <w:sz w:val="23"/>
                <w:szCs w:val="23"/>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2C2C2C"/>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2C2C2C"/>
              </w:rPr>
              <w:t>100,476</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C2C2C"/>
              </w:rPr>
              <w:t>215,987</w:t>
            </w:r>
          </w:p>
        </w:tc>
        <w:tc>
          <w:tcPr>
            <w:tcW w:w="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2C2C2C"/>
                <w:w w:val="89"/>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2C2C2C"/>
              </w:rPr>
              <w:t>189,409</w:t>
            </w: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3"/>
        </w:trPr>
        <w:tc>
          <w:tcPr>
            <w:tcW w:w="3540" w:type="dxa"/>
            <w:vAlign w:val="bottom"/>
          </w:tcPr>
          <w:p>
            <w:pPr>
              <w:spacing w:after="0"/>
              <w:rPr>
                <w:sz w:val="20"/>
                <w:szCs w:val="20"/>
                <w:color w:val="auto"/>
              </w:rPr>
            </w:pPr>
            <w:r>
              <w:rPr>
                <w:rFonts w:ascii="Arial" w:cs="Arial" w:eastAsia="Arial" w:hAnsi="Arial"/>
                <w:sz w:val="20"/>
                <w:szCs w:val="20"/>
                <w:color w:val="2C2C2C"/>
              </w:rPr>
              <w:t>Net Income</w:t>
            </w:r>
          </w:p>
        </w:tc>
        <w:tc>
          <w:tcPr>
            <w:tcW w:w="360" w:type="dxa"/>
            <w:vAlign w:val="bottom"/>
          </w:tcPr>
          <w:p>
            <w:pPr>
              <w:jc w:val="right"/>
              <w:ind w:right="141"/>
              <w:spacing w:after="0"/>
              <w:rPr>
                <w:sz w:val="20"/>
                <w:szCs w:val="20"/>
                <w:color w:val="auto"/>
              </w:rPr>
            </w:pPr>
            <w:r>
              <w:rPr>
                <w:rFonts w:ascii="Arial" w:cs="Arial" w:eastAsia="Arial" w:hAnsi="Arial"/>
                <w:sz w:val="20"/>
                <w:szCs w:val="20"/>
                <w:color w:val="2C2C2C"/>
                <w:w w:val="89"/>
              </w:rPr>
              <w:t>$</w:t>
            </w:r>
          </w:p>
        </w:tc>
        <w:tc>
          <w:tcPr>
            <w:tcW w:w="1300" w:type="dxa"/>
            <w:vAlign w:val="bottom"/>
          </w:tcPr>
          <w:p>
            <w:pPr>
              <w:jc w:val="right"/>
              <w:ind w:right="21"/>
              <w:spacing w:after="0"/>
              <w:rPr>
                <w:sz w:val="20"/>
                <w:szCs w:val="20"/>
                <w:color w:val="auto"/>
              </w:rPr>
            </w:pPr>
            <w:r>
              <w:rPr>
                <w:rFonts w:ascii="Arial" w:cs="Arial" w:eastAsia="Arial" w:hAnsi="Arial"/>
                <w:sz w:val="20"/>
                <w:szCs w:val="20"/>
                <w:color w:val="2C2C2C"/>
              </w:rPr>
              <w:t>58,396</w:t>
            </w:r>
          </w:p>
        </w:tc>
        <w:tc>
          <w:tcPr>
            <w:tcW w:w="18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2C2C2C"/>
                <w:w w:val="89"/>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2C2C2C"/>
              </w:rPr>
              <w:t>69,613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2C2C2C"/>
              </w:rPr>
              <w:t>$</w:t>
            </w:r>
          </w:p>
        </w:tc>
        <w:tc>
          <w:tcPr>
            <w:tcW w:w="1240" w:type="dxa"/>
            <w:vAlign w:val="bottom"/>
          </w:tcPr>
          <w:p>
            <w:pPr>
              <w:jc w:val="right"/>
              <w:spacing w:after="0"/>
              <w:rPr>
                <w:sz w:val="20"/>
                <w:szCs w:val="20"/>
                <w:color w:val="auto"/>
              </w:rPr>
            </w:pPr>
            <w:r>
              <w:rPr>
                <w:rFonts w:ascii="Arial" w:cs="Arial" w:eastAsia="Arial" w:hAnsi="Arial"/>
                <w:sz w:val="20"/>
                <w:szCs w:val="20"/>
                <w:color w:val="2C2C2C"/>
              </w:rPr>
              <w:t>215,859</w:t>
            </w:r>
          </w:p>
        </w:tc>
        <w:tc>
          <w:tcPr>
            <w:tcW w:w="580" w:type="dxa"/>
            <w:vAlign w:val="bottom"/>
            <w:gridSpan w:val="3"/>
          </w:tcPr>
          <w:p>
            <w:pPr>
              <w:jc w:val="right"/>
              <w:ind w:right="101"/>
              <w:spacing w:after="0"/>
              <w:rPr>
                <w:sz w:val="20"/>
                <w:szCs w:val="20"/>
                <w:color w:val="auto"/>
              </w:rPr>
            </w:pPr>
            <w:r>
              <w:rPr>
                <w:rFonts w:ascii="Arial" w:cs="Arial" w:eastAsia="Arial" w:hAnsi="Arial"/>
                <w:sz w:val="20"/>
                <w:szCs w:val="20"/>
                <w:color w:val="2C2C2C"/>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2C2C2C"/>
              </w:rPr>
              <w:t>191,991</w:t>
            </w:r>
          </w:p>
        </w:tc>
        <w:tc>
          <w:tcPr>
            <w:tcW w:w="0" w:type="dxa"/>
            <w:vAlign w:val="bottom"/>
          </w:tcPr>
          <w:p>
            <w:pPr>
              <w:spacing w:after="0"/>
              <w:rPr>
                <w:sz w:val="1"/>
                <w:szCs w:val="1"/>
                <w:color w:val="auto"/>
              </w:rPr>
            </w:pPr>
          </w:p>
        </w:tc>
      </w:tr>
      <w:tr>
        <w:trPr>
          <w:trHeight w:val="540"/>
        </w:trPr>
        <w:tc>
          <w:tcPr>
            <w:tcW w:w="3540" w:type="dxa"/>
            <w:vAlign w:val="bottom"/>
          </w:tcPr>
          <w:p>
            <w:pPr>
              <w:spacing w:after="0"/>
              <w:rPr>
                <w:sz w:val="20"/>
                <w:szCs w:val="20"/>
                <w:color w:val="auto"/>
              </w:rPr>
            </w:pPr>
            <w:r>
              <w:rPr>
                <w:rFonts w:ascii="Arial" w:cs="Arial" w:eastAsia="Arial" w:hAnsi="Arial"/>
                <w:sz w:val="20"/>
                <w:szCs w:val="20"/>
                <w:color w:val="2C2C2C"/>
              </w:rPr>
              <w:t>Free cash flow conversion</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2C2C2C"/>
              </w:rPr>
              <w:t>117 %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C2C2C"/>
              </w:rPr>
              <w:t>144 %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2C2C2C"/>
              </w:rPr>
              <w:t>100 %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C2C2C"/>
              </w:rPr>
              <w:t>99 %</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line="252" w:lineRule="auto"/>
        <w:rPr>
          <w:sz w:val="20"/>
          <w:szCs w:val="20"/>
          <w:color w:val="auto"/>
        </w:rPr>
      </w:pPr>
      <w:r>
        <w:rPr>
          <w:rFonts w:ascii="Arial" w:cs="Arial" w:eastAsia="Arial" w:hAnsi="Arial"/>
          <w:sz w:val="20"/>
          <w:szCs w:val="20"/>
          <w:color w:val="2C2C2C"/>
        </w:rPr>
        <w:t>Management believes that free cash flow is a meaningful measure for investors. Management reviews cash from operations after deducting capital expenditures because these expenditures are necessary to promote growth of MSA’s business and are likely to produce cash from operations in future periods. It is important to note that free cash flow does not reflect the residual cash balance of the company for discretionary spending since other items, including debt and dividend payments, are deducted from free cash flow before arriving at the company’s ending cash balance. Management defines free cash flow conversion as free cash flow divided by net income. There can be no assurances that MSA's definition of free cash flow is consistent with that of other companies. As such, management believes that it is appropriate to consider cash from operating activities determined on a GAAP basis as well as free cash flow.</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140"/>
          </w:cols>
          <w:pgMar w:left="320" w:top="127" w:right="4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22"/>
          <w:szCs w:val="22"/>
          <w:color w:val="242424"/>
        </w:rPr>
        <w:t>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424242"/>
        </w:rPr>
        <w:t>MSA Safety Incorporated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24242"/>
        </w:rPr>
        <w:t>Reconciliation of Non-GAAP Financial Measures</w:t>
      </w:r>
    </w:p>
    <w:p>
      <w:pPr>
        <w:spacing w:after="0"/>
        <w:rPr>
          <w:sz w:val="20"/>
          <w:szCs w:val="20"/>
          <w:color w:val="auto"/>
        </w:rPr>
      </w:pPr>
      <w:r>
        <w:rPr>
          <w:rFonts w:ascii="Arial" w:cs="Arial" w:eastAsia="Arial" w:hAnsi="Arial"/>
          <w:sz w:val="20"/>
          <w:szCs w:val="20"/>
          <w:color w:val="424242"/>
        </w:rPr>
        <w:t>Debt to adjusted EBITDA / Net debt to adjusted EBITDA (Unaudited)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424242"/>
        </w:rPr>
        <w:t>(In thousands)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tcPr>
          <w:p>
            <w:pPr>
              <w:jc w:val="center"/>
              <w:ind w:right="141"/>
              <w:spacing w:after="0"/>
              <w:rPr>
                <w:sz w:val="20"/>
                <w:szCs w:val="20"/>
                <w:color w:val="auto"/>
              </w:rPr>
            </w:pPr>
            <w:r>
              <w:rPr>
                <w:rFonts w:ascii="Arial" w:cs="Arial" w:eastAsia="Arial" w:hAnsi="Arial"/>
                <w:sz w:val="20"/>
                <w:szCs w:val="20"/>
                <w:color w:val="424242"/>
                <w:w w:val="99"/>
              </w:rPr>
              <w:t>Twelve Months Ended</w:t>
            </w:r>
          </w:p>
        </w:tc>
      </w:tr>
      <w:tr>
        <w:trPr>
          <w:trHeight w:val="251"/>
        </w:trPr>
        <w:tc>
          <w:tcPr>
            <w:tcW w:w="8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424242"/>
                <w:w w:val="99"/>
              </w:rPr>
              <w:t>September 30,</w:t>
            </w:r>
          </w:p>
        </w:tc>
      </w:tr>
      <w:tr>
        <w:trPr>
          <w:trHeight w:val="260"/>
        </w:trPr>
        <w:tc>
          <w:tcPr>
            <w:tcW w:w="8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424242"/>
                <w:w w:val="98"/>
              </w:rPr>
              <w:t>2026</w:t>
            </w:r>
          </w:p>
        </w:tc>
      </w:tr>
      <w:tr>
        <w:trPr>
          <w:trHeight w:val="263"/>
        </w:trPr>
        <w:tc>
          <w:tcPr>
            <w:tcW w:w="8440" w:type="dxa"/>
            <w:vAlign w:val="bottom"/>
          </w:tcPr>
          <w:p>
            <w:pPr>
              <w:spacing w:after="0"/>
              <w:rPr>
                <w:sz w:val="20"/>
                <w:szCs w:val="20"/>
                <w:color w:val="auto"/>
              </w:rPr>
            </w:pPr>
            <w:r>
              <w:rPr>
                <w:rFonts w:ascii="Arial" w:cs="Arial" w:eastAsia="Arial" w:hAnsi="Arial"/>
                <w:sz w:val="20"/>
                <w:szCs w:val="20"/>
                <w:color w:val="424242"/>
              </w:rPr>
              <w:t>Operating income</w:t>
            </w:r>
          </w:p>
        </w:tc>
        <w:tc>
          <w:tcPr>
            <w:tcW w:w="240" w:type="dxa"/>
            <w:vAlign w:val="bottom"/>
          </w:tcPr>
          <w:p>
            <w:pPr>
              <w:jc w:val="right"/>
              <w:ind w:right="21"/>
              <w:spacing w:after="0"/>
              <w:rPr>
                <w:sz w:val="20"/>
                <w:szCs w:val="20"/>
                <w:color w:val="auto"/>
              </w:rPr>
            </w:pPr>
            <w:r>
              <w:rPr>
                <w:rFonts w:ascii="Arial" w:cs="Arial" w:eastAsia="Arial" w:hAnsi="Arial"/>
                <w:sz w:val="20"/>
                <w:szCs w:val="20"/>
                <w:color w:val="424242"/>
                <w:w w:val="89"/>
              </w:rPr>
              <w:t>$</w:t>
            </w:r>
          </w:p>
        </w:tc>
        <w:tc>
          <w:tcPr>
            <w:tcW w:w="2440" w:type="dxa"/>
            <w:vAlign w:val="bottom"/>
          </w:tcPr>
          <w:p>
            <w:pPr>
              <w:jc w:val="right"/>
              <w:spacing w:after="0"/>
              <w:rPr>
                <w:sz w:val="20"/>
                <w:szCs w:val="20"/>
                <w:color w:val="auto"/>
              </w:rPr>
            </w:pPr>
            <w:r>
              <w:rPr>
                <w:rFonts w:ascii="Arial" w:cs="Arial" w:eastAsia="Arial" w:hAnsi="Arial"/>
                <w:sz w:val="20"/>
                <w:szCs w:val="20"/>
                <w:color w:val="424242"/>
              </w:rPr>
              <w:t>407,093</w:t>
            </w:r>
          </w:p>
        </w:tc>
      </w:tr>
      <w:tr>
        <w:trPr>
          <w:trHeight w:val="270"/>
        </w:trPr>
        <w:tc>
          <w:tcPr>
            <w:tcW w:w="8440" w:type="dxa"/>
            <w:vAlign w:val="bottom"/>
          </w:tcPr>
          <w:p>
            <w:pPr>
              <w:spacing w:after="0"/>
              <w:rPr>
                <w:sz w:val="20"/>
                <w:szCs w:val="20"/>
                <w:color w:val="auto"/>
              </w:rPr>
            </w:pPr>
            <w:r>
              <w:rPr>
                <w:rFonts w:ascii="Arial" w:cs="Arial" w:eastAsia="Arial" w:hAnsi="Arial"/>
                <w:sz w:val="20"/>
                <w:szCs w:val="20"/>
                <w:color w:val="424242"/>
              </w:rPr>
              <w:t>Depreciation and amortization</w:t>
            </w:r>
          </w:p>
        </w:tc>
        <w:tc>
          <w:tcPr>
            <w:tcW w:w="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20"/>
                <w:szCs w:val="20"/>
                <w:color w:val="424242"/>
              </w:rPr>
              <w:t>60,328</w:t>
            </w:r>
          </w:p>
        </w:tc>
      </w:tr>
      <w:tr>
        <w:trPr>
          <w:trHeight w:val="270"/>
        </w:trPr>
        <w:tc>
          <w:tcPr>
            <w:tcW w:w="8440" w:type="dxa"/>
            <w:vAlign w:val="bottom"/>
          </w:tcPr>
          <w:p>
            <w:pPr>
              <w:spacing w:after="0"/>
              <w:rPr>
                <w:sz w:val="20"/>
                <w:szCs w:val="20"/>
                <w:color w:val="auto"/>
              </w:rPr>
            </w:pPr>
            <w:r>
              <w:rPr>
                <w:rFonts w:ascii="Arial" w:cs="Arial" w:eastAsia="Arial" w:hAnsi="Arial"/>
                <w:sz w:val="20"/>
                <w:szCs w:val="20"/>
                <w:color w:val="424242"/>
              </w:rPr>
              <w:t>Currency exchange losses, net</w:t>
            </w:r>
          </w:p>
        </w:tc>
        <w:tc>
          <w:tcPr>
            <w:tcW w:w="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20"/>
                <w:szCs w:val="20"/>
                <w:color w:val="424242"/>
              </w:rPr>
              <w:t>6,535</w:t>
            </w:r>
          </w:p>
        </w:tc>
      </w:tr>
      <w:tr>
        <w:trPr>
          <w:trHeight w:val="270"/>
        </w:trPr>
        <w:tc>
          <w:tcPr>
            <w:tcW w:w="8440" w:type="dxa"/>
            <w:vAlign w:val="bottom"/>
          </w:tcPr>
          <w:p>
            <w:pPr>
              <w:spacing w:after="0"/>
              <w:rPr>
                <w:sz w:val="20"/>
                <w:szCs w:val="20"/>
                <w:color w:val="auto"/>
              </w:rPr>
            </w:pPr>
            <w:r>
              <w:rPr>
                <w:rFonts w:ascii="Arial" w:cs="Arial" w:eastAsia="Arial" w:hAnsi="Arial"/>
                <w:sz w:val="20"/>
                <w:szCs w:val="20"/>
                <w:color w:val="424242"/>
              </w:rPr>
              <w:t>Restructuring charges</w:t>
            </w:r>
          </w:p>
        </w:tc>
        <w:tc>
          <w:tcPr>
            <w:tcW w:w="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20"/>
                <w:szCs w:val="20"/>
                <w:color w:val="424242"/>
              </w:rPr>
              <w:t>7,745</w:t>
            </w:r>
          </w:p>
        </w:tc>
      </w:tr>
      <w:tr>
        <w:trPr>
          <w:trHeight w:val="270"/>
        </w:trPr>
        <w:tc>
          <w:tcPr>
            <w:tcW w:w="8440" w:type="dxa"/>
            <w:vAlign w:val="bottom"/>
          </w:tcPr>
          <w:p>
            <w:pPr>
              <w:spacing w:after="0"/>
              <w:rPr>
                <w:sz w:val="20"/>
                <w:szCs w:val="20"/>
                <w:color w:val="auto"/>
              </w:rPr>
            </w:pPr>
            <w:r>
              <w:rPr>
                <w:rFonts w:ascii="Arial" w:cs="Arial" w:eastAsia="Arial" w:hAnsi="Arial"/>
                <w:sz w:val="20"/>
                <w:szCs w:val="20"/>
                <w:color w:val="424242"/>
              </w:rPr>
              <w:t>Acquisition-related amortization</w:t>
            </w:r>
          </w:p>
        </w:tc>
        <w:tc>
          <w:tcPr>
            <w:tcW w:w="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20"/>
                <w:szCs w:val="20"/>
                <w:color w:val="424242"/>
              </w:rPr>
              <w:t>18,423</w:t>
            </w:r>
          </w:p>
        </w:tc>
      </w:tr>
      <w:tr>
        <w:trPr>
          <w:trHeight w:val="279"/>
        </w:trPr>
        <w:tc>
          <w:tcPr>
            <w:tcW w:w="8440" w:type="dxa"/>
            <w:vAlign w:val="bottom"/>
          </w:tcPr>
          <w:p>
            <w:pPr>
              <w:spacing w:after="0" w:line="278" w:lineRule="exact"/>
              <w:rPr>
                <w:sz w:val="20"/>
                <w:szCs w:val="20"/>
                <w:color w:val="auto"/>
              </w:rPr>
            </w:pPr>
            <w:r>
              <w:rPr>
                <w:rFonts w:ascii="Arial" w:cs="Arial" w:eastAsia="Arial" w:hAnsi="Arial"/>
                <w:sz w:val="20"/>
                <w:szCs w:val="20"/>
                <w:color w:val="424242"/>
              </w:rPr>
              <w:t xml:space="preserve">Transaction and digital transformation costs </w:t>
            </w:r>
            <w:r>
              <w:rPr>
                <w:rFonts w:ascii="Arial" w:cs="Arial" w:eastAsia="Arial" w:hAnsi="Arial"/>
                <w:sz w:val="25"/>
                <w:szCs w:val="25"/>
                <w:color w:val="424242"/>
                <w:vertAlign w:val="superscript"/>
              </w:rPr>
              <w:t>(a)</w:t>
            </w:r>
          </w:p>
        </w:tc>
        <w:tc>
          <w:tcPr>
            <w:tcW w:w="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0"/>
                <w:szCs w:val="20"/>
                <w:color w:val="424242"/>
              </w:rPr>
              <w:t>19,296</w:t>
            </w:r>
          </w:p>
        </w:tc>
      </w:tr>
      <w:tr>
        <w:trPr>
          <w:trHeight w:val="265"/>
        </w:trPr>
        <w:tc>
          <w:tcPr>
            <w:tcW w:w="8440" w:type="dxa"/>
            <w:vAlign w:val="bottom"/>
          </w:tcPr>
          <w:p>
            <w:pPr>
              <w:spacing w:after="0" w:line="264" w:lineRule="exact"/>
              <w:rPr>
                <w:sz w:val="20"/>
                <w:szCs w:val="20"/>
                <w:color w:val="auto"/>
              </w:rPr>
            </w:pPr>
            <w:r>
              <w:rPr>
                <w:rFonts w:ascii="Arial" w:cs="Arial" w:eastAsia="Arial" w:hAnsi="Arial"/>
                <w:sz w:val="20"/>
                <w:szCs w:val="20"/>
                <w:color w:val="424242"/>
              </w:rPr>
              <w:t xml:space="preserve">Autronica estimated adjusted EBITDA contribution </w:t>
            </w:r>
            <w:r>
              <w:rPr>
                <w:rFonts w:ascii="Arial" w:cs="Arial" w:eastAsia="Arial" w:hAnsi="Arial"/>
                <w:sz w:val="25"/>
                <w:szCs w:val="25"/>
                <w:color w:val="424242"/>
                <w:vertAlign w:val="superscript"/>
              </w:rPr>
              <w:t>(b)</w:t>
            </w:r>
          </w:p>
        </w:tc>
        <w:tc>
          <w:tcPr>
            <w:tcW w:w="2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24242"/>
              </w:rPr>
              <w:t>24,000</w:t>
            </w:r>
          </w:p>
        </w:tc>
      </w:tr>
      <w:tr>
        <w:trPr>
          <w:trHeight w:val="260"/>
        </w:trPr>
        <w:tc>
          <w:tcPr>
            <w:tcW w:w="8440" w:type="dxa"/>
            <w:vAlign w:val="bottom"/>
          </w:tcPr>
          <w:p>
            <w:pPr>
              <w:spacing w:after="0"/>
              <w:rPr>
                <w:sz w:val="20"/>
                <w:szCs w:val="20"/>
                <w:color w:val="auto"/>
              </w:rPr>
            </w:pPr>
            <w:r>
              <w:rPr>
                <w:rFonts w:ascii="Arial" w:cs="Arial" w:eastAsia="Arial" w:hAnsi="Arial"/>
                <w:sz w:val="20"/>
                <w:szCs w:val="20"/>
                <w:color w:val="424242"/>
              </w:rPr>
              <w:t>Adjusted EBITDA</w:t>
            </w:r>
          </w:p>
        </w:tc>
        <w:tc>
          <w:tcPr>
            <w:tcW w:w="240" w:type="dxa"/>
            <w:vAlign w:val="bottom"/>
          </w:tcPr>
          <w:p>
            <w:pPr>
              <w:jc w:val="right"/>
              <w:ind w:right="21"/>
              <w:spacing w:after="0"/>
              <w:rPr>
                <w:sz w:val="20"/>
                <w:szCs w:val="20"/>
                <w:color w:val="auto"/>
              </w:rPr>
            </w:pPr>
            <w:r>
              <w:rPr>
                <w:rFonts w:ascii="Arial" w:cs="Arial" w:eastAsia="Arial" w:hAnsi="Arial"/>
                <w:sz w:val="20"/>
                <w:szCs w:val="20"/>
                <w:color w:val="424242"/>
                <w:w w:val="89"/>
              </w:rPr>
              <w:t>$</w:t>
            </w:r>
          </w:p>
        </w:tc>
        <w:tc>
          <w:tcPr>
            <w:tcW w:w="2440" w:type="dxa"/>
            <w:vAlign w:val="bottom"/>
          </w:tcPr>
          <w:p>
            <w:pPr>
              <w:jc w:val="right"/>
              <w:spacing w:after="0"/>
              <w:rPr>
                <w:sz w:val="20"/>
                <w:szCs w:val="20"/>
                <w:color w:val="auto"/>
              </w:rPr>
            </w:pPr>
            <w:r>
              <w:rPr>
                <w:rFonts w:ascii="Arial" w:cs="Arial" w:eastAsia="Arial" w:hAnsi="Arial"/>
                <w:sz w:val="20"/>
                <w:szCs w:val="20"/>
                <w:color w:val="424242"/>
              </w:rPr>
              <w:t>543,420</w:t>
            </w:r>
          </w:p>
        </w:tc>
      </w:tr>
      <w:tr>
        <w:trPr>
          <w:trHeight w:val="420"/>
        </w:trPr>
        <w:tc>
          <w:tcPr>
            <w:tcW w:w="8440" w:type="dxa"/>
            <w:vAlign w:val="bottom"/>
          </w:tcPr>
          <w:p>
            <w:pPr>
              <w:spacing w:after="0"/>
              <w:rPr>
                <w:sz w:val="20"/>
                <w:szCs w:val="20"/>
                <w:color w:val="auto"/>
              </w:rPr>
            </w:pPr>
            <w:r>
              <w:rPr>
                <w:rFonts w:ascii="Arial" w:cs="Arial" w:eastAsia="Arial" w:hAnsi="Arial"/>
                <w:sz w:val="20"/>
                <w:szCs w:val="20"/>
                <w:color w:val="424242"/>
              </w:rPr>
              <w:t>Total end-of-period debt</w:t>
            </w: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24242"/>
              </w:rPr>
              <w:t>1,121,206</w:t>
            </w:r>
          </w:p>
        </w:tc>
      </w:tr>
      <w:tr>
        <w:trPr>
          <w:trHeight w:val="400"/>
        </w:trPr>
        <w:tc>
          <w:tcPr>
            <w:tcW w:w="8440" w:type="dxa"/>
            <w:vAlign w:val="bottom"/>
          </w:tcPr>
          <w:p>
            <w:pPr>
              <w:spacing w:after="0"/>
              <w:rPr>
                <w:sz w:val="20"/>
                <w:szCs w:val="20"/>
                <w:color w:val="auto"/>
              </w:rPr>
            </w:pPr>
            <w:r>
              <w:rPr>
                <w:rFonts w:ascii="Arial" w:cs="Arial" w:eastAsia="Arial" w:hAnsi="Arial"/>
                <w:sz w:val="20"/>
                <w:szCs w:val="20"/>
                <w:color w:val="424242"/>
              </w:rPr>
              <w:t>Debt to adjusted EBITDA</w:t>
            </w: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24242"/>
              </w:rPr>
              <w:t>2.1</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382"/>
        </w:trPr>
        <w:tc>
          <w:tcPr>
            <w:tcW w:w="8440" w:type="dxa"/>
            <w:vAlign w:val="bottom"/>
          </w:tcPr>
          <w:p>
            <w:pPr>
              <w:spacing w:after="0"/>
              <w:rPr>
                <w:sz w:val="20"/>
                <w:szCs w:val="20"/>
                <w:color w:val="auto"/>
              </w:rPr>
            </w:pPr>
            <w:r>
              <w:rPr>
                <w:rFonts w:ascii="Arial" w:cs="Arial" w:eastAsia="Arial" w:hAnsi="Arial"/>
                <w:sz w:val="20"/>
                <w:szCs w:val="20"/>
                <w:color w:val="424242"/>
              </w:rPr>
              <w:t>Total end-of-period debt</w:t>
            </w:r>
          </w:p>
        </w:tc>
        <w:tc>
          <w:tcPr>
            <w:tcW w:w="240" w:type="dxa"/>
            <w:vAlign w:val="bottom"/>
          </w:tcPr>
          <w:p>
            <w:pPr>
              <w:jc w:val="right"/>
              <w:ind w:right="21"/>
              <w:spacing w:after="0"/>
              <w:rPr>
                <w:sz w:val="20"/>
                <w:szCs w:val="20"/>
                <w:color w:val="auto"/>
              </w:rPr>
            </w:pPr>
            <w:r>
              <w:rPr>
                <w:rFonts w:ascii="Arial" w:cs="Arial" w:eastAsia="Arial" w:hAnsi="Arial"/>
                <w:sz w:val="20"/>
                <w:szCs w:val="20"/>
                <w:color w:val="424242"/>
                <w:w w:val="89"/>
              </w:rPr>
              <w:t>$</w:t>
            </w:r>
          </w:p>
        </w:tc>
        <w:tc>
          <w:tcPr>
            <w:tcW w:w="2440" w:type="dxa"/>
            <w:vAlign w:val="bottom"/>
          </w:tcPr>
          <w:p>
            <w:pPr>
              <w:jc w:val="right"/>
              <w:spacing w:after="0"/>
              <w:rPr>
                <w:sz w:val="20"/>
                <w:szCs w:val="20"/>
                <w:color w:val="auto"/>
              </w:rPr>
            </w:pPr>
            <w:r>
              <w:rPr>
                <w:rFonts w:ascii="Arial" w:cs="Arial" w:eastAsia="Arial" w:hAnsi="Arial"/>
                <w:sz w:val="20"/>
                <w:szCs w:val="20"/>
                <w:color w:val="424242"/>
              </w:rPr>
              <w:t>1,121,206</w:t>
            </w:r>
          </w:p>
        </w:tc>
      </w:tr>
      <w:tr>
        <w:trPr>
          <w:trHeight w:val="270"/>
        </w:trPr>
        <w:tc>
          <w:tcPr>
            <w:tcW w:w="8440" w:type="dxa"/>
            <w:vAlign w:val="bottom"/>
          </w:tcPr>
          <w:p>
            <w:pPr>
              <w:spacing w:after="0"/>
              <w:rPr>
                <w:sz w:val="20"/>
                <w:szCs w:val="20"/>
                <w:color w:val="auto"/>
              </w:rPr>
            </w:pPr>
            <w:r>
              <w:rPr>
                <w:rFonts w:ascii="Arial" w:cs="Arial" w:eastAsia="Arial" w:hAnsi="Arial"/>
                <w:sz w:val="20"/>
                <w:szCs w:val="20"/>
                <w:color w:val="424242"/>
              </w:rPr>
              <w:t>Total end-of-period cash and cash equivalents</w:t>
            </w:r>
          </w:p>
        </w:tc>
        <w:tc>
          <w:tcPr>
            <w:tcW w:w="2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24242"/>
              </w:rPr>
              <w:t>187,248</w:t>
            </w:r>
          </w:p>
        </w:tc>
      </w:tr>
      <w:tr>
        <w:trPr>
          <w:trHeight w:val="265"/>
        </w:trPr>
        <w:tc>
          <w:tcPr>
            <w:tcW w:w="8440" w:type="dxa"/>
            <w:vAlign w:val="bottom"/>
          </w:tcPr>
          <w:p>
            <w:pPr>
              <w:spacing w:after="0"/>
              <w:rPr>
                <w:sz w:val="20"/>
                <w:szCs w:val="20"/>
                <w:color w:val="auto"/>
              </w:rPr>
            </w:pPr>
            <w:r>
              <w:rPr>
                <w:rFonts w:ascii="Arial" w:cs="Arial" w:eastAsia="Arial" w:hAnsi="Arial"/>
                <w:sz w:val="20"/>
                <w:szCs w:val="20"/>
                <w:color w:val="424242"/>
              </w:rPr>
              <w:t>Net debt</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424242"/>
                <w:w w:val="89"/>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24242"/>
              </w:rPr>
              <w:t>933,958</w:t>
            </w:r>
          </w:p>
        </w:tc>
      </w:tr>
      <w:tr>
        <w:trPr>
          <w:trHeight w:val="400"/>
        </w:trPr>
        <w:tc>
          <w:tcPr>
            <w:tcW w:w="8440" w:type="dxa"/>
            <w:vAlign w:val="bottom"/>
          </w:tcPr>
          <w:p>
            <w:pPr>
              <w:spacing w:after="0"/>
              <w:rPr>
                <w:sz w:val="20"/>
                <w:szCs w:val="20"/>
                <w:color w:val="auto"/>
              </w:rPr>
            </w:pPr>
            <w:r>
              <w:rPr>
                <w:rFonts w:ascii="Arial" w:cs="Arial" w:eastAsia="Arial" w:hAnsi="Arial"/>
                <w:sz w:val="20"/>
                <w:szCs w:val="20"/>
                <w:color w:val="424242"/>
              </w:rPr>
              <w:t>Net debt to adjusted EBITDA</w:t>
            </w: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24242"/>
              </w:rPr>
              <w:t>1.7</w:t>
            </w:r>
          </w:p>
        </w:tc>
      </w:tr>
    </w:tbl>
    <w:p>
      <w:pPr>
        <w:spacing w:after="0" w:line="26" w:lineRule="exact"/>
        <w:rPr>
          <w:sz w:val="20"/>
          <w:szCs w:val="20"/>
          <w:color w:val="auto"/>
        </w:rPr>
      </w:pPr>
    </w:p>
    <w:p>
      <w:pPr>
        <w:ind w:left="20" w:right="160" w:firstLine="6"/>
        <w:spacing w:after="0" w:line="224" w:lineRule="auto"/>
        <w:tabs>
          <w:tab w:leader="none" w:pos="193" w:val="left"/>
        </w:tabs>
        <w:numPr>
          <w:ilvl w:val="0"/>
          <w:numId w:val="9"/>
        </w:numPr>
        <w:rPr>
          <w:rFonts w:ascii="Arial" w:cs="Arial" w:eastAsia="Arial" w:hAnsi="Arial"/>
          <w:sz w:val="20"/>
          <w:szCs w:val="20"/>
          <w:color w:val="424242"/>
          <w:vertAlign w:val="superscript"/>
        </w:rPr>
      </w:pPr>
      <w:r>
        <w:rPr>
          <w:rFonts w:ascii="Arial" w:cs="Arial" w:eastAsia="Arial" w:hAnsi="Arial"/>
          <w:sz w:val="15"/>
          <w:szCs w:val="15"/>
          <w:color w:val="424242"/>
        </w:rPr>
        <w:t>Transaction and digital transformation costs include advisory, legal, accounting, valuation, and other professional or consulting fees incurred during our evaluation of or in connection with acquisitions and divestitures as well as costs associated with strategic digital transformation efforts. These costs are included in Selling, general and administrative expense in the unaudited Condensed Consolidated Statements of Income.</w:t>
      </w:r>
    </w:p>
    <w:p>
      <w:pPr>
        <w:spacing w:after="0" w:line="57" w:lineRule="exact"/>
        <w:rPr>
          <w:rFonts w:ascii="Arial" w:cs="Arial" w:eastAsia="Arial" w:hAnsi="Arial"/>
          <w:sz w:val="20"/>
          <w:szCs w:val="20"/>
          <w:color w:val="424242"/>
          <w:vertAlign w:val="superscript"/>
        </w:rPr>
      </w:pPr>
    </w:p>
    <w:p>
      <w:pPr>
        <w:ind w:left="20" w:right="40" w:firstLine="6"/>
        <w:spacing w:after="0" w:line="224" w:lineRule="auto"/>
        <w:tabs>
          <w:tab w:leader="none" w:pos="193" w:val="left"/>
        </w:tabs>
        <w:numPr>
          <w:ilvl w:val="0"/>
          <w:numId w:val="9"/>
        </w:numPr>
        <w:rPr>
          <w:rFonts w:ascii="Arial" w:cs="Arial" w:eastAsia="Arial" w:hAnsi="Arial"/>
          <w:sz w:val="20"/>
          <w:szCs w:val="20"/>
          <w:color w:val="424242"/>
          <w:vertAlign w:val="superscript"/>
        </w:rPr>
      </w:pPr>
      <w:r>
        <w:rPr>
          <w:rFonts w:ascii="Arial" w:cs="Arial" w:eastAsia="Arial" w:hAnsi="Arial"/>
          <w:sz w:val="15"/>
          <w:szCs w:val="15"/>
          <w:color w:val="424242"/>
        </w:rPr>
        <w:t>Adjusted EBITDA includes Autronica estimates for nine months preceding MSA's ownership. The estimate was developed using information disclosed in MSA's Form 8-K filed on May 5, 2026. Pro forma Adjusted EBITDA is derived from Autronica's estimated 2025 revenue of approximately $160 million and estimated Adjusted EBITDA margin of approximately 20%. These amounts are unaudited and based on preliminary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-716915</wp:posOffset>
            </wp:positionV>
            <wp:extent cx="17062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313"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2C2C2C"/>
        </w:rPr>
        <w:t>Management believes that Debt to adjusted EBITDA and Net debt to adjusted EBITDA are useful measures for investors, as management uses these measures to internally assess the company’s liquidity and balance sheet strength. There can be no assurances that MSA's definition of Debt to adjusted EBITDA and Net debt to adjusted EBITDA is consistent with that of other companies.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140"/>
          </w:cols>
          <w:pgMar w:left="320" w:top="127" w:right="4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22"/>
          <w:szCs w:val="22"/>
          <w:color w:val="242424"/>
        </w:rPr>
        <w:t>14</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24242"/>
        </w:rPr>
        <w:t>About MSA Safety:</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i w:val="1"/>
          <w:iCs w:val="1"/>
          <w:color w:val="424242"/>
        </w:rPr>
        <w:t>MSA Safety Incorporated (NYSE: MSA) is the global leader in advanced industrial safety technology products and solutions. Driven by its singular mission of safety, the company has been at the forefront of safety innovation since 1914, protecting workers and facility infrastructure around the world across a broad range of diverse end markets while creating sustainable value for shareholders. With 2025 revenues of $1.9 billion, MSA Safety is headquartered in Cranberry Township, Pennsylvania and employs a team of approximately 5,300 associates across its more than 40 international locations. For more information, please visit www.MSASafety.com.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24242"/>
        </w:rPr>
        <w:t>Cautionary Statement Regarding Forward-Looking Statements:</w:t>
      </w:r>
    </w:p>
    <w:p>
      <w:pPr>
        <w:spacing w:after="0" w:line="229" w:lineRule="exact"/>
        <w:rPr>
          <w:sz w:val="20"/>
          <w:szCs w:val="20"/>
          <w:color w:val="auto"/>
        </w:rPr>
      </w:pPr>
    </w:p>
    <w:p>
      <w:pPr>
        <w:spacing w:after="0" w:line="249" w:lineRule="auto"/>
        <w:rPr>
          <w:sz w:val="20"/>
          <w:szCs w:val="20"/>
          <w:color w:val="auto"/>
        </w:rPr>
      </w:pPr>
      <w:r>
        <w:rPr>
          <w:rFonts w:ascii="Arial" w:cs="Arial" w:eastAsia="Arial" w:hAnsi="Arial"/>
          <w:sz w:val="20"/>
          <w:szCs w:val="20"/>
          <w:i w:val="1"/>
          <w:iCs w:val="1"/>
          <w:color w:val="424242"/>
        </w:rPr>
        <w:t>Except for historical information, certain matters discussed in this press release may be "forward-looking statements" within the meaning of the Private Securities Litigation Reform Act of 1995. These statements relate to future events or our future financial performance and involve various assumptions,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words such as “may,” “will,” “should,” “expects,” “intends,” “plans,” “anticipates,” “believes,” “estimates,” “predicts,” “potential” or other comparable words. Actual results, performance or outcomes may differ materially from those expressed or implied by these forward-looking statements and may not align with historical performance and events due to a number of factors, including those discussed in the sections of our annual report on Form 10-K entitled “Cautionary Statement Regarding Forward-Looking Statements” and “Risk Factors,” and those discussed in our Form 10-Q quarterly reports filed after such annual report. MSA’s SEC filings are readily obtainable at no charge at www.sec.gov, as well as on its own investor relations website at http://investors.MSAsafety.com. Although we believe that the expectations reflected in the forward-looking statements are reasonable, we cannot guarantee future results, levels of activity, performance or achievements, and caution should be exercised against placing undue reliance upon such statements, which are based only on information currently available to us and speak only as of the date hereof. We are under no duty to update publicly any of the forward-looking statements after the date of this earnings press release, whether as a result of new information, future events or otherwise, except as required by law.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24242"/>
        </w:rPr>
        <w:t>Non-GAAP Financial Measures:</w:t>
      </w:r>
    </w:p>
    <w:p>
      <w:pPr>
        <w:spacing w:after="0" w:line="216" w:lineRule="exact"/>
        <w:rPr>
          <w:sz w:val="20"/>
          <w:szCs w:val="20"/>
          <w:color w:val="auto"/>
        </w:rPr>
      </w:pPr>
    </w:p>
    <w:p>
      <w:pPr>
        <w:spacing w:after="0" w:line="252" w:lineRule="auto"/>
        <w:rPr>
          <w:sz w:val="20"/>
          <w:szCs w:val="20"/>
          <w:color w:val="auto"/>
        </w:rPr>
      </w:pPr>
      <w:r>
        <w:rPr>
          <w:rFonts w:ascii="Arial" w:cs="Arial" w:eastAsia="Arial" w:hAnsi="Arial"/>
          <w:sz w:val="20"/>
          <w:szCs w:val="20"/>
          <w:i w:val="1"/>
          <w:iCs w:val="1"/>
          <w:color w:val="424242"/>
        </w:rPr>
        <w:t>This press release includes certain non-GAAP financial measures. These financial measures include organic sales change, adjusted operating income, adjusted operating margin, adjusted EBITDA, adjusted EBITDA margin, adjusted earnings, adjusted earnings per diluted share, debt to adjusted EBITDA, and net debt to adjusted EBITDA. These non-GAAP financial measures provide information useful to investors in understanding our operating performance and trends, and to facilitate comparisons with the performance of our peers. Management also uses these measures internally to assess and better understand our underlying business performance and trends related to core business activities. The non-GAAP financial measures and key performance indicators we use, and computational methods with respect thereto, may differ from the non-GAAP financial measures and key performance indicators, and computational methods, that our peers use to assess their performance 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666666"/>
        </w:rPr>
        <w:t>(more)</w:t>
      </w:r>
    </w:p>
    <w:p>
      <w:pPr>
        <w:sectPr>
          <w:pgSz w:w="11900" w:h="16838" w:orient="portrait"/>
          <w:cols w:equalWidth="0" w:num="1">
            <w:col w:w="11180"/>
          </w:cols>
          <w:pgMar w:left="320" w:top="127" w:right="399" w:bottom="1440" w:gutter="0" w:footer="0" w:header="0"/>
        </w:sectPr>
      </w:pPr>
    </w:p>
    <w:bookmarkStart w:id="18" w:name="page19"/>
    <w:bookmarkEnd w:id="18"/>
    <w:p>
      <w:pPr>
        <w:jc w:val="center"/>
        <w:ind w:right="-159"/>
        <w:spacing w:after="0"/>
        <w:rPr>
          <w:sz w:val="20"/>
          <w:szCs w:val="20"/>
          <w:color w:val="auto"/>
        </w:rPr>
      </w:pPr>
      <w:r>
        <w:rPr>
          <w:rFonts w:ascii="Arial" w:cs="Arial" w:eastAsia="Arial" w:hAnsi="Arial"/>
          <w:sz w:val="22"/>
          <w:szCs w:val="22"/>
          <w:color w:val="242424"/>
        </w:rPr>
        <w:t>15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19"/>
          <w:szCs w:val="19"/>
          <w:i w:val="1"/>
          <w:iCs w:val="1"/>
          <w:color w:val="424242"/>
        </w:rPr>
        <w:t>The presentation of these non-GAAP financial measures does not comply with U.S. generally accepted accounting principles ("GAAP"). These non-GAAP financial measures should be viewed as supplemental in nature, and not as a substitute for, or superior to, our reported results prepared in accordance with GAAP. When non-GAAP financial measures are disclosed, the Securities and Exchange Commission's Regulation G requires: (i) the presentation of the most directly comparable financial measure calculated and presented in accordance with GAAP and (ii) a reconciliation of the differences between the non-GAAP financial measure presented and the most directly comparable financial measure calculated and presented in accordance with GAAP. For an explanation of these measures, with a reconciliation to the most directly comparable GAAP financial measure, see the Reconciliation of GAAP Financial Measures to Non-GAAP Financial Measures in the financial tables section 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424242"/>
        </w:rPr>
        <w:t># # #</w:t>
      </w:r>
    </w:p>
    <w:sectPr>
      <w:pgSz w:w="11900" w:h="16838" w:orient="portrait"/>
      <w:cols w:equalWidth="0" w:num="1">
        <w:col w:w="11080"/>
      </w:cols>
      <w:pgMar w:left="32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2026-11-02T15:49:57Z</dcterms:created>
  <dcterms:modified xsi:type="dcterms:W3CDTF">2026-11-02T15:49:57Z</dcterms:modified>
</cp:coreProperties>
</file>