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Vartanian Nishan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CRANBERRY WOODS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CRANBERRY WOODS TOWNSHIP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16066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MSA Safety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2"/>
        <w:gridCol w:w="931"/>
        <w:gridCol w:w="799"/>
        <w:gridCol w:w="618"/>
        <w:gridCol w:w="345"/>
        <w:gridCol w:w="921"/>
        <w:gridCol w:w="427"/>
        <w:gridCol w:w="1104"/>
        <w:gridCol w:w="1129"/>
        <w:gridCol w:w="97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193.9866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50,324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1,190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Wife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Price is the volume weighted average selling price of all sales by the reporting person on the transaction date within a one dollar range. Actual prices ranged from $193.575 to $195.6549. The reporting person herebyundertakes to provide upon request of the Commission staff, the issuer, or a security holder of the issuer, full information regarding the number of shares sold at each separate price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W. Roda,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4614" TargetMode="External"/><Relationship Id="rId5" Type="http://schemas.openxmlformats.org/officeDocument/2006/relationships/hyperlink" Target="http://www.sec.gov/cgi-bin/browse-edgar?action=getcompany&amp;CIK=00000665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642</Words>
  <Characters>3457</Characters>
  <CharactersWithSpaces>4028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