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0" w:lineRule="exact"/>
        <w:rPr>
          <w:sz w:val="24"/>
          <w:szCs w:val="24"/>
          <w:color w:val="auto"/>
        </w:rPr>
      </w:pPr>
    </w:p>
    <w:p>
      <w:pPr>
        <w:spacing w:after="0" w:line="206" w:lineRule="exact"/>
        <w:rPr>
          <w:sz w:val="24"/>
          <w:szCs w:val="24"/>
          <w:color w:val="auto"/>
        </w:rPr>
      </w:pPr>
    </w:p>
    <w:p>
      <w:pPr>
        <w:ind w:left="1680" w:hanging="344"/>
        <w:spacing w:after="0"/>
        <w:tabs>
          <w:tab w:leader="none" w:pos="1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2026</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9" w:lineRule="exact"/>
        <w:rPr>
          <w:sz w:val="24"/>
          <w:szCs w:val="24"/>
          <w:color w:val="auto"/>
        </w:rPr>
      </w:pPr>
    </w:p>
    <w:p>
      <w:pPr>
        <w:ind w:left="1680" w:hanging="350"/>
        <w:spacing w:after="0"/>
        <w:tabs>
          <w:tab w:leader="none" w:pos="1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44" w:lineRule="exact"/>
        <w:rPr>
          <w:rFonts w:ascii="MS PGothic" w:cs="MS PGothic" w:eastAsia="MS PGothic" w:hAnsi="MS PGothic"/>
          <w:sz w:val="18"/>
          <w:szCs w:val="18"/>
          <w:color w:val="auto"/>
        </w:rPr>
      </w:pPr>
    </w:p>
    <w:p>
      <w:pPr>
        <w:ind w:left="4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No. 1-15579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62865</wp:posOffset>
            </wp:positionV>
            <wp:extent cx="89154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9154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MSA SAFETY INCORPORATED</w:t>
      </w:r>
    </w:p>
    <w:p>
      <w:pPr>
        <w:spacing w:after="0" w:line="6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57" w:lineRule="exact"/>
        <w:rPr>
          <w:sz w:val="24"/>
          <w:szCs w:val="24"/>
          <w:color w:val="auto"/>
        </w:rPr>
      </w:pPr>
    </w:p>
    <w:tbl>
      <w:tblPr>
        <w:tblLayout w:type="fixed"/>
        <w:tblInd w:w="1440" w:type="dxa"/>
        <w:tblCellMar>
          <w:top w:w="0" w:type="dxa"/>
          <w:left w:w="0" w:type="dxa"/>
          <w:bottom w:w="0" w:type="dxa"/>
          <w:right w:w="0" w:type="dxa"/>
        </w:tblCellMar>
      </w:tblPr>
      <w:tr>
        <w:trPr>
          <w:trHeight w:val="238"/>
        </w:trPr>
        <w:tc>
          <w:tcPr>
            <w:tcW w:w="4600" w:type="dxa"/>
            <w:vAlign w:val="bottom"/>
          </w:tcPr>
          <w:p>
            <w:pPr>
              <w:jc w:val="center"/>
              <w:ind w:right="2019"/>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8"/>
                <w:szCs w:val="18"/>
                <w:b w:val="1"/>
                <w:bCs w:val="1"/>
                <w:color w:val="auto"/>
              </w:rPr>
              <w:t>46-4914539</w:t>
            </w:r>
          </w:p>
        </w:tc>
      </w:tr>
      <w:tr>
        <w:trPr>
          <w:trHeight w:val="148"/>
        </w:trPr>
        <w:tc>
          <w:tcPr>
            <w:tcW w:w="4600" w:type="dxa"/>
            <w:vAlign w:val="bottom"/>
          </w:tcPr>
          <w:p>
            <w:pPr>
              <w:jc w:val="center"/>
              <w:ind w:right="20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00" w:type="dxa"/>
            <w:vAlign w:val="bottom"/>
          </w:tcPr>
          <w:p>
            <w:pPr>
              <w:jc w:val="center"/>
              <w:ind w:left="18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600" w:type="dxa"/>
            <w:vAlign w:val="bottom"/>
          </w:tcPr>
          <w:p>
            <w:pPr>
              <w:jc w:val="center"/>
              <w:ind w:right="20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3"/>
        </w:trPr>
        <w:tc>
          <w:tcPr>
            <w:tcW w:w="4600" w:type="dxa"/>
            <w:vAlign w:val="bottom"/>
          </w:tcPr>
          <w:p>
            <w:pPr>
              <w:jc w:val="center"/>
              <w:ind w:right="2019"/>
              <w:spacing w:after="0"/>
              <w:rPr>
                <w:sz w:val="20"/>
                <w:szCs w:val="20"/>
                <w:color w:val="auto"/>
              </w:rPr>
            </w:pPr>
            <w:r>
              <w:rPr>
                <w:rFonts w:ascii="Times New Roman" w:cs="Times New Roman" w:eastAsia="Times New Roman" w:hAnsi="Times New Roman"/>
                <w:sz w:val="18"/>
                <w:szCs w:val="18"/>
                <w:b w:val="1"/>
                <w:bCs w:val="1"/>
                <w:color w:val="auto"/>
                <w:w w:val="98"/>
              </w:rPr>
              <w:t>1000 Cranberry Woods Drive</w:t>
            </w:r>
          </w:p>
        </w:tc>
        <w:tc>
          <w:tcPr>
            <w:tcW w:w="3000" w:type="dxa"/>
            <w:vAlign w:val="bottom"/>
          </w:tcPr>
          <w:p>
            <w:pPr>
              <w:spacing w:after="0"/>
              <w:rPr>
                <w:sz w:val="24"/>
                <w:szCs w:val="24"/>
                <w:color w:val="auto"/>
              </w:rPr>
            </w:pP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Cranberry Township, Pennsylvania</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8"/>
                <w:szCs w:val="18"/>
                <w:b w:val="1"/>
                <w:bCs w:val="1"/>
                <w:color w:val="auto"/>
              </w:rPr>
              <w:t>16066-5207</w:t>
            </w:r>
          </w:p>
        </w:tc>
      </w:tr>
      <w:tr>
        <w:trPr>
          <w:trHeight w:val="193"/>
        </w:trPr>
        <w:tc>
          <w:tcPr>
            <w:tcW w:w="4600" w:type="dxa"/>
            <w:vAlign w:val="bottom"/>
          </w:tcPr>
          <w:p>
            <w:pPr>
              <w:jc w:val="center"/>
              <w:ind w:right="20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Registrant’s telephone number, including area code: (724) 776-8600</w:t>
      </w:r>
    </w:p>
    <w:p>
      <w:pPr>
        <w:spacing w:after="0" w:line="1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 N/A</w:t>
      </w:r>
    </w:p>
    <w:p>
      <w:pPr>
        <w:spacing w:after="0" w:line="95" w:lineRule="exact"/>
        <w:rPr>
          <w:sz w:val="24"/>
          <w:szCs w:val="24"/>
          <w:color w:val="auto"/>
        </w:rPr>
      </w:pPr>
    </w:p>
    <w:p>
      <w:pPr>
        <w:ind w:right="180" w:firstLine="445"/>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w:t>
      </w:r>
      <w:r>
        <w:rPr>
          <w:rFonts w:ascii="Times New Roman" w:cs="Times New Roman" w:eastAsia="Times New Roman" w:hAnsi="Times New Roman"/>
          <w:sz w:val="17"/>
          <w:szCs w:val="17"/>
          <w:color w:val="auto"/>
        </w:rPr>
        <w:t>Yes</w:t>
      </w:r>
      <w:r>
        <w:rPr>
          <w:rFonts w:ascii="Times New Roman" w:cs="Times New Roman" w:eastAsia="Times New Roman" w:hAnsi="Times New Roman"/>
          <w:sz w:val="16"/>
          <w:szCs w:val="16"/>
          <w:color w:val="auto"/>
        </w:rPr>
        <w:t xml:space="preserve"> </w:t>
      </w:r>
      <w:r>
        <w:rPr>
          <w:rFonts w:ascii="Wingdings" w:cs="Wingdings" w:eastAsia="Wingdings" w:hAnsi="Wingdings"/>
          <w:sz w:val="17"/>
          <w:szCs w:val="17"/>
          <w:b w:val="1"/>
          <w:bCs w:val="1"/>
          <w:color w:val="auto"/>
        </w:rPr>
        <w:t>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p>
    <w:p>
      <w:pPr>
        <w:spacing w:after="0" w:line="120" w:lineRule="exact"/>
        <w:rPr>
          <w:sz w:val="24"/>
          <w:szCs w:val="24"/>
          <w:color w:val="auto"/>
        </w:rPr>
      </w:pPr>
    </w:p>
    <w:p>
      <w:pPr>
        <w:ind w:firstLine="445"/>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Times New Roman" w:cs="Times New Roman" w:eastAsia="Times New Roman" w:hAnsi="Times New Roman"/>
          <w:sz w:val="17"/>
          <w:szCs w:val="17"/>
          <w:color w:val="auto"/>
        </w:rPr>
        <w:t>Yes</w:t>
      </w:r>
      <w:r>
        <w:rPr>
          <w:rFonts w:ascii="Times New Roman" w:cs="Times New Roman" w:eastAsia="Times New Roman" w:hAnsi="Times New Roman"/>
          <w:sz w:val="16"/>
          <w:szCs w:val="16"/>
          <w:color w:val="auto"/>
        </w:rPr>
        <w:t xml:space="preserve"> </w:t>
      </w:r>
      <w:r>
        <w:rPr>
          <w:rFonts w:ascii="Wingdings" w:cs="Wingdings" w:eastAsia="Wingdings" w:hAnsi="Wingdings"/>
          <w:sz w:val="17"/>
          <w:szCs w:val="17"/>
          <w:b w:val="1"/>
          <w:bCs w:val="1"/>
          <w:color w:val="auto"/>
        </w:rPr>
        <w:t>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p>
    <w:p>
      <w:pPr>
        <w:spacing w:after="0" w:line="202" w:lineRule="exact"/>
        <w:rPr>
          <w:sz w:val="24"/>
          <w:szCs w:val="24"/>
          <w:color w:val="auto"/>
        </w:rPr>
      </w:pPr>
    </w:p>
    <w:p>
      <w:pPr>
        <w:ind w:right="240" w:firstLine="405"/>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229" w:right="399" w:bottom="1440" w:gutter="0" w:footer="0" w:header="0"/>
        </w:sectPr>
      </w:pPr>
    </w:p>
    <w:p>
      <w:pPr>
        <w:spacing w:after="0" w:line="292"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6"/>
          <w:szCs w:val="16"/>
          <w:color w:val="auto"/>
        </w:rPr>
        <w:t xml:space="preserve">Large Accelerated Filer </w:t>
      </w: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jc w:val="center"/>
        <w:ind w:right="320"/>
        <w:spacing w:after="0" w:line="17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jc w:val="center"/>
        <w:ind w:right="42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100"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31" w:lineRule="exact"/>
        <w:rPr>
          <w:sz w:val="24"/>
          <w:szCs w:val="24"/>
          <w:color w:val="auto"/>
        </w:rPr>
      </w:pPr>
    </w:p>
    <w:p>
      <w:pPr>
        <w:sectPr>
          <w:pgSz w:w="11900" w:h="16838" w:orient="portrait"/>
          <w:cols w:equalWidth="0" w:num="4">
            <w:col w:w="2700" w:space="720"/>
            <w:col w:w="1580" w:space="720"/>
            <w:col w:w="1980" w:space="720"/>
            <w:col w:w="2760"/>
          </w:cols>
          <w:pgMar w:left="320" w:top="229" w:right="399" w:bottom="1440" w:gutter="0" w:footer="0" w:header="0"/>
          <w:type w:val="continuous"/>
        </w:sectPr>
      </w:pPr>
    </w:p>
    <w:p>
      <w:pPr>
        <w:ind w:right="120" w:firstLine="405"/>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5" w:lineRule="exact"/>
        <w:rPr>
          <w:sz w:val="24"/>
          <w:szCs w:val="24"/>
          <w:color w:val="auto"/>
        </w:rPr>
      </w:pPr>
    </w:p>
    <w:p>
      <w:pPr>
        <w:ind w:left="420"/>
        <w:spacing w:after="0" w:line="207" w:lineRule="exact"/>
        <w:tabs>
          <w:tab w:leader="none" w:pos="846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Times New Roman" w:cs="Times New Roman" w:eastAsia="Times New Roman" w:hAnsi="Times New Roman"/>
          <w:sz w:val="17"/>
          <w:szCs w:val="17"/>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Wingdings" w:cs="Wingdings" w:eastAsia="Wingdings" w:hAnsi="Wingdings"/>
          <w:sz w:val="18"/>
          <w:szCs w:val="18"/>
          <w:b w:val="1"/>
          <w:bCs w:val="1"/>
          <w:color w:val="auto"/>
        </w:rPr>
        <w:t>x</w:t>
      </w:r>
    </w:p>
    <w:p>
      <w:pPr>
        <w:spacing w:after="0" w:line="135"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26" w:lineRule="exact"/>
        <w:rPr>
          <w:sz w:val="24"/>
          <w:szCs w:val="24"/>
          <w:color w:val="auto"/>
        </w:rPr>
      </w:pPr>
    </w:p>
    <w:tbl>
      <w:tblPr>
        <w:tblLayout w:type="fixed"/>
        <w:tblInd w:w="1680" w:type="dxa"/>
        <w:tblCellMar>
          <w:top w:w="0" w:type="dxa"/>
          <w:left w:w="0" w:type="dxa"/>
          <w:bottom w:w="0" w:type="dxa"/>
          <w:right w:w="0" w:type="dxa"/>
        </w:tblCellMar>
      </w:tblPr>
      <w:tr>
        <w:trPr>
          <w:trHeight w:val="184"/>
        </w:trPr>
        <w:tc>
          <w:tcPr>
            <w:tcW w:w="36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18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is registered</w:t>
            </w:r>
          </w:p>
        </w:tc>
      </w:tr>
      <w:tr>
        <w:trPr>
          <w:trHeight w:val="244"/>
        </w:trPr>
        <w:tc>
          <w:tcPr>
            <w:tcW w:w="3340" w:type="dxa"/>
            <w:vAlign w:val="bottom"/>
            <w:gridSpan w:val="3"/>
          </w:tcPr>
          <w:p>
            <w:pPr>
              <w:jc w:val="center"/>
              <w:ind w:right="1440"/>
              <w:spacing w:after="0"/>
              <w:rPr>
                <w:sz w:val="20"/>
                <w:szCs w:val="20"/>
                <w:color w:val="auto"/>
              </w:rPr>
            </w:pPr>
            <w:r>
              <w:rPr>
                <w:rFonts w:ascii="Times New Roman" w:cs="Times New Roman" w:eastAsia="Times New Roman" w:hAnsi="Times New Roman"/>
                <w:sz w:val="16"/>
                <w:szCs w:val="16"/>
                <w:color w:val="auto"/>
              </w:rPr>
              <w:t>Common Stock, no par value</w:t>
            </w:r>
          </w:p>
        </w:tc>
        <w:tc>
          <w:tcPr>
            <w:tcW w:w="166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color w:val="auto"/>
              </w:rPr>
              <w:t>MSA</w:t>
            </w:r>
          </w:p>
        </w:tc>
        <w:tc>
          <w:tcPr>
            <w:tcW w:w="420" w:type="dxa"/>
            <w:vAlign w:val="bottom"/>
          </w:tcPr>
          <w:p>
            <w:pPr>
              <w:spacing w:after="0"/>
              <w:rPr>
                <w:sz w:val="21"/>
                <w:szCs w:val="21"/>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154"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6"/>
          <w:szCs w:val="16"/>
          <w:color w:val="auto"/>
        </w:rPr>
        <w:t>As of October 30, 2026, 38,521,574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w w:val="99"/>
              </w:rPr>
              <w:t>Item No.</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20" w:type="dxa"/>
            <w:vAlign w:val="bottom"/>
            <w:gridSpan w:val="3"/>
          </w:tcPr>
          <w:p>
            <w:pPr>
              <w:jc w:val="right"/>
              <w:ind w:right="600"/>
              <w:spacing w:after="0" w:line="202" w:lineRule="exact"/>
              <w:rPr>
                <w:sz w:val="20"/>
                <w:szCs w:val="20"/>
                <w:color w:val="auto"/>
              </w:rPr>
            </w:pPr>
            <w:r>
              <w:rPr>
                <w:rFonts w:ascii="Times New Roman" w:cs="Times New Roman" w:eastAsia="Times New Roman" w:hAnsi="Times New Roman"/>
                <w:sz w:val="18"/>
                <w:szCs w:val="18"/>
                <w:color w:val="auto"/>
              </w:rPr>
              <w:t>1.</w:t>
            </w:r>
          </w:p>
        </w:tc>
        <w:tc>
          <w:tcPr>
            <w:tcW w:w="918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0000FF"/>
              </w:rPr>
              <w:t>Financial Statements</w:t>
            </w:r>
          </w:p>
        </w:tc>
        <w:tc>
          <w:tcPr>
            <w:tcW w:w="740" w:type="dxa"/>
            <w:vAlign w:val="bottom"/>
            <w:gridSpan w:val="5"/>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1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(unaudited)</w:t>
            </w: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(unaudited)</w:t>
            </w:r>
          </w:p>
        </w:tc>
        <w:tc>
          <w:tcPr>
            <w:tcW w:w="3720" w:type="dxa"/>
            <w:vAlign w:val="bottom"/>
            <w:gridSpan w:val="3"/>
          </w:tcPr>
          <w:p>
            <w:pPr>
              <w:spacing w:after="0"/>
              <w:rPr>
                <w:sz w:val="19"/>
                <w:szCs w:val="19"/>
                <w:color w:val="auto"/>
              </w:rPr>
            </w:pP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3720" w:type="dxa"/>
            <w:vAlign w:val="bottom"/>
            <w:gridSpan w:val="3"/>
          </w:tcPr>
          <w:p>
            <w:pPr>
              <w:spacing w:after="0"/>
              <w:rPr>
                <w:sz w:val="19"/>
                <w:szCs w:val="19"/>
                <w:color w:val="auto"/>
              </w:rPr>
            </w:pP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1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1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Retained Earnings and Accumulated Other Comprehensive Loss</w:t>
            </w:r>
          </w:p>
        </w:tc>
        <w:tc>
          <w:tcPr>
            <w:tcW w:w="74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80" w:type="dxa"/>
            <w:vAlign w:val="bottom"/>
            <w:tcBorders>
              <w:top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6580" w:type="dxa"/>
            <w:vAlign w:val="bottom"/>
            <w:tcBorders>
              <w:top w:val="single" w:sz="8" w:color="0000FF"/>
            </w:tcBorders>
            <w:gridSpan w:val="9"/>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20" w:type="dxa"/>
            <w:vAlign w:val="bottom"/>
            <w:gridSpan w:val="3"/>
            <w:shd w:val="clear" w:color="auto" w:fill="0000FF"/>
          </w:tcPr>
          <w:p>
            <w:pPr>
              <w:spacing w:after="0"/>
              <w:rPr>
                <w:sz w:val="2"/>
                <w:szCs w:val="2"/>
                <w:color w:val="auto"/>
              </w:rPr>
            </w:pPr>
          </w:p>
        </w:tc>
        <w:tc>
          <w:tcPr>
            <w:tcW w:w="25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600" w:type="dxa"/>
            <w:vAlign w:val="bottom"/>
            <w:gridSpan w:val="2"/>
          </w:tcPr>
          <w:p>
            <w:pPr>
              <w:spacing w:after="0"/>
              <w:rPr>
                <w:sz w:val="2"/>
                <w:szCs w:val="2"/>
                <w:color w:val="auto"/>
              </w:rPr>
            </w:pPr>
          </w:p>
        </w:tc>
        <w:tc>
          <w:tcPr>
            <w:tcW w:w="2720" w:type="dxa"/>
            <w:vAlign w:val="bottom"/>
            <w:gridSpan w:val="2"/>
          </w:tcPr>
          <w:p>
            <w:pPr>
              <w:spacing w:after="0"/>
              <w:rPr>
                <w:sz w:val="2"/>
                <w:szCs w:val="2"/>
                <w:color w:val="auto"/>
              </w:rPr>
            </w:pPr>
          </w:p>
        </w:tc>
        <w:tc>
          <w:tcPr>
            <w:tcW w:w="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1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2.</w:t>
            </w:r>
          </w:p>
        </w:tc>
        <w:tc>
          <w:tcPr>
            <w:tcW w:w="64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20" w:type="dxa"/>
            <w:vAlign w:val="bottom"/>
            <w:gridSpan w:val="2"/>
          </w:tcPr>
          <w:p>
            <w:pPr>
              <w:spacing w:after="0"/>
              <w:rPr>
                <w:sz w:val="19"/>
                <w:szCs w:val="19"/>
                <w:color w:val="auto"/>
              </w:rPr>
            </w:pPr>
          </w:p>
        </w:tc>
        <w:tc>
          <w:tcPr>
            <w:tcW w:w="540" w:type="dxa"/>
            <w:vAlign w:val="bottom"/>
            <w:gridSpan w:val="2"/>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3.</w:t>
            </w:r>
          </w:p>
        </w:tc>
        <w:tc>
          <w:tcPr>
            <w:tcW w:w="43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820" w:type="dxa"/>
            <w:vAlign w:val="bottom"/>
            <w:gridSpan w:val="6"/>
          </w:tcPr>
          <w:p>
            <w:pPr>
              <w:spacing w:after="0"/>
              <w:rPr>
                <w:sz w:val="19"/>
                <w:szCs w:val="19"/>
                <w:color w:val="auto"/>
              </w:rPr>
            </w:pPr>
          </w:p>
        </w:tc>
        <w:tc>
          <w:tcPr>
            <w:tcW w:w="540" w:type="dxa"/>
            <w:vAlign w:val="bottom"/>
            <w:gridSpan w:val="2"/>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4.</w:t>
            </w:r>
          </w:p>
        </w:tc>
        <w:tc>
          <w:tcPr>
            <w:tcW w:w="91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66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2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320" w:type="dxa"/>
            <w:vAlign w:val="bottom"/>
            <w:gridSpan w:val="3"/>
          </w:tcPr>
          <w:p>
            <w:pPr>
              <w:jc w:val="right"/>
              <w:ind w:right="600"/>
              <w:spacing w:after="0" w:line="202" w:lineRule="exact"/>
              <w:rPr>
                <w:sz w:val="20"/>
                <w:szCs w:val="20"/>
                <w:color w:val="auto"/>
              </w:rPr>
            </w:pPr>
            <w:r>
              <w:rPr>
                <w:rFonts w:ascii="Times New Roman" w:cs="Times New Roman" w:eastAsia="Times New Roman" w:hAnsi="Times New Roman"/>
                <w:sz w:val="18"/>
                <w:szCs w:val="18"/>
                <w:color w:val="auto"/>
              </w:rPr>
              <w:t>2.</w:t>
            </w:r>
          </w:p>
        </w:tc>
        <w:tc>
          <w:tcPr>
            <w:tcW w:w="918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20" w:type="dxa"/>
            <w:vAlign w:val="bottom"/>
            <w:gridSpan w:val="4"/>
          </w:tcPr>
          <w:p>
            <w:pPr>
              <w:jc w:val="right"/>
              <w:spacing w:after="0" w:line="202" w:lineRule="exact"/>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3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6.</w:t>
            </w:r>
          </w:p>
        </w:tc>
        <w:tc>
          <w:tcPr>
            <w:tcW w:w="43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Exhibits</w:t>
            </w:r>
          </w:p>
        </w:tc>
        <w:tc>
          <w:tcPr>
            <w:tcW w:w="4840" w:type="dxa"/>
            <w:vAlign w:val="bottom"/>
            <w:gridSpan w:val="7"/>
          </w:tcPr>
          <w:p>
            <w:pPr>
              <w:spacing w:after="0"/>
              <w:rPr>
                <w:sz w:val="19"/>
                <w:szCs w:val="19"/>
                <w:color w:val="auto"/>
              </w:rPr>
            </w:pPr>
          </w:p>
        </w:tc>
        <w:tc>
          <w:tcPr>
            <w:tcW w:w="540" w:type="dxa"/>
            <w:vAlign w:val="bottom"/>
            <w:gridSpan w:val="2"/>
          </w:tcPr>
          <w:p>
            <w:pPr>
              <w:spacing w:after="0"/>
              <w:rPr>
                <w:sz w:val="19"/>
                <w:szCs w:val="19"/>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20" w:type="dxa"/>
            <w:vAlign w:val="bottom"/>
            <w:gridSpan w:val="1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1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9"/>
        </w:trPr>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MSA SAFETY INCORPORATED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640" w:type="dxa"/>
            <w:vAlign w:val="bottom"/>
            <w:gridSpan w:val="4"/>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(In thousands, except per share values)</w:t>
            </w: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536,430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468,445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1,503,389</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1,363,900</w:t>
            </w:r>
          </w:p>
        </w:tc>
      </w:tr>
      <w:tr>
        <w:trPr>
          <w:trHeight w:val="243"/>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292,199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250,829</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790,287</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732,179</w:t>
            </w:r>
          </w:p>
        </w:tc>
      </w:tr>
      <w:tr>
        <w:trPr>
          <w:trHeight w:val="237"/>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244,231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217,616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713,102</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631,721</w:t>
            </w:r>
          </w:p>
        </w:tc>
      </w:tr>
      <w:tr>
        <w:trPr>
          <w:trHeight w:val="148"/>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4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132,377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102,852</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354,133</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308,895</w:t>
            </w:r>
          </w:p>
        </w:tc>
      </w:tr>
      <w:tr>
        <w:trPr>
          <w:trHeight w:val="24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49,186</w:t>
            </w:r>
          </w:p>
        </w:tc>
      </w:tr>
      <w:tr>
        <w:trPr>
          <w:trHeight w:val="24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 (Note 4)</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r>
      <w:tr>
        <w:trPr>
          <w:trHeight w:val="243"/>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Currency exchange losses, net</w:t>
            </w: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13,237</w:t>
            </w:r>
          </w:p>
        </w:tc>
      </w:tr>
      <w:tr>
        <w:trPr>
          <w:trHeight w:val="237"/>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88,235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293,208</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257,933</w:t>
            </w:r>
          </w:p>
        </w:tc>
      </w:tr>
      <w:tr>
        <w:trPr>
          <w:trHeight w:val="148"/>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4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8,416</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29,413</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23,368</w:t>
            </w:r>
          </w:p>
        </w:tc>
      </w:tr>
      <w:tr>
        <w:trPr>
          <w:trHeight w:val="243"/>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(22,538)</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(18,585)</w:t>
            </w:r>
          </w:p>
        </w:tc>
      </w:tr>
      <w:tr>
        <w:trPr>
          <w:trHeight w:val="23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w:t>
            </w:r>
          </w:p>
        </w:tc>
      </w:tr>
      <w:tr>
        <w:trPr>
          <w:trHeight w:val="148"/>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4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92,456</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286,333</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253,150</w:t>
            </w:r>
          </w:p>
        </w:tc>
      </w:tr>
      <w:tr>
        <w:trPr>
          <w:trHeight w:val="243"/>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 (Note 11)</w:t>
            </w: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22,843</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70,474</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61,159</w:t>
            </w:r>
          </w:p>
        </w:tc>
      </w:tr>
      <w:tr>
        <w:trPr>
          <w:trHeight w:val="262"/>
        </w:trPr>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69,613</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215,859</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191,991</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5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4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 attributable to common shareholders (Note 10):</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43"/>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43"/>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4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Dividends per common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bl>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MSA SAFETY INCORPORATED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5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640" w:type="dxa"/>
            <w:vAlign w:val="bottom"/>
            <w:gridSpan w:val="4"/>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215,859</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191,991</w:t>
            </w: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5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 (Note 7)</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65,049</w:t>
            </w:r>
          </w:p>
        </w:tc>
      </w:tr>
      <w:tr>
        <w:trPr>
          <w:trHeight w:val="243"/>
        </w:trPr>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Pension and post-retirement plan adjustments, net of tax (Note 7)</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43"/>
        </w:trPr>
        <w:tc>
          <w:tcPr>
            <w:tcW w:w="5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Unrealized losses on cash flow hedges (Note 7)</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53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Reclassification from accumulated other comprehensive loss into net</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3"/>
        </w:trPr>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(Note 7)</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14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65,800</w:t>
            </w:r>
          </w:p>
        </w:tc>
      </w:tr>
      <w:tr>
        <w:trPr>
          <w:trHeight w:val="237"/>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58,439</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68,290</w:t>
            </w:r>
          </w:p>
        </w:tc>
        <w:tc>
          <w:tcPr>
            <w:tcW w:w="1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208,203</w:t>
            </w:r>
          </w:p>
        </w:tc>
        <w:tc>
          <w:tcPr>
            <w:tcW w:w="14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257,791</w:t>
            </w:r>
          </w:p>
        </w:tc>
      </w:tr>
      <w:tr>
        <w:trPr>
          <w:trHeight w:val="21"/>
        </w:trPr>
        <w:tc>
          <w:tcPr>
            <w:tcW w:w="5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MSA SAFETY INCORPORATED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Pr>
          <w:p>
            <w:pPr>
              <w:spacing w:after="0"/>
              <w:rPr>
                <w:sz w:val="18"/>
                <w:szCs w:val="18"/>
                <w:color w:val="auto"/>
              </w:rPr>
            </w:pPr>
          </w:p>
        </w:tc>
        <w:tc>
          <w:tcPr>
            <w:tcW w:w="18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18"/>
                <w:szCs w:val="18"/>
                <w:color w:val="auto"/>
              </w:rPr>
            </w:pPr>
          </w:p>
        </w:tc>
        <w:tc>
          <w:tcPr>
            <w:tcW w:w="1680" w:type="dxa"/>
            <w:vAlign w:val="bottom"/>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187,248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165,067</w:t>
            </w:r>
          </w:p>
        </w:tc>
      </w:tr>
      <w:tr>
        <w:trPr>
          <w:trHeight w:val="24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 less allowance for credit loss of $11,512 and $10,286</w:t>
            </w: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374,211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306,452</w:t>
            </w: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(Note 5)</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343,035</w:t>
            </w:r>
          </w:p>
        </w:tc>
      </w:tr>
      <w:tr>
        <w:trPr>
          <w:trHeight w:val="24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54,738</w:t>
            </w:r>
          </w:p>
        </w:tc>
      </w:tr>
      <w:tr>
        <w:trPr>
          <w:trHeight w:val="237"/>
        </w:trPr>
        <w:tc>
          <w:tcPr>
            <w:tcW w:w="7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990,744</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869,292</w:t>
            </w:r>
          </w:p>
        </w:tc>
      </w:tr>
      <w:tr>
        <w:trPr>
          <w:trHeight w:val="128"/>
        </w:trPr>
        <w:tc>
          <w:tcPr>
            <w:tcW w:w="7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(Note 6)</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283,063</w:t>
            </w:r>
          </w:p>
        </w:tc>
      </w:tr>
      <w:tr>
        <w:trPr>
          <w:trHeight w:val="24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56,930</w:t>
            </w: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pension cost (Note 16)</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279,450</w:t>
            </w:r>
          </w:p>
        </w:tc>
      </w:tr>
      <w:tr>
        <w:trPr>
          <w:trHeight w:val="24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(Note 11)</w:t>
            </w: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20,991</w:t>
            </w: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(Note 14)</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731,592</w:t>
            </w:r>
          </w:p>
        </w:tc>
      </w:tr>
      <w:tr>
        <w:trPr>
          <w:trHeight w:val="24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 (Note 14)</w:t>
            </w: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558,574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299,127</w:t>
            </w:r>
          </w:p>
        </w:tc>
      </w:tr>
      <w:tr>
        <w:trPr>
          <w:trHeight w:val="243"/>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13,929</w:t>
            </w:r>
          </w:p>
        </w:tc>
      </w:tr>
      <w:tr>
        <w:trPr>
          <w:trHeight w:val="262"/>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3,278,312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2,554,374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7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80" w:type="dxa"/>
            <w:vAlign w:val="bottom"/>
          </w:tcPr>
          <w:p>
            <w:pPr>
              <w:spacing w:after="0"/>
              <w:rPr>
                <w:sz w:val="8"/>
                <w:szCs w:val="8"/>
                <w:color w:val="auto"/>
              </w:rPr>
            </w:pPr>
          </w:p>
        </w:tc>
      </w:tr>
      <w:tr>
        <w:trPr>
          <w:trHeight w:val="24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and current portion of long-term debt (Note 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8,225</w:t>
            </w:r>
          </w:p>
        </w:tc>
      </w:tr>
      <w:tr>
        <w:trPr>
          <w:trHeight w:val="24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110,775</w:t>
            </w: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Employees’ compensation</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57,640</w:t>
            </w:r>
          </w:p>
        </w:tc>
      </w:tr>
      <w:tr>
        <w:trPr>
          <w:trHeight w:val="24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125,750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112,571</w:t>
            </w:r>
          </w:p>
        </w:tc>
      </w:tr>
      <w:tr>
        <w:trPr>
          <w:trHeight w:val="237"/>
        </w:trPr>
        <w:tc>
          <w:tcPr>
            <w:tcW w:w="7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373,698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289,211</w:t>
            </w:r>
          </w:p>
        </w:tc>
      </w:tr>
      <w:tr>
        <w:trPr>
          <w:trHeight w:val="128"/>
        </w:trPr>
        <w:tc>
          <w:tcPr>
            <w:tcW w:w="7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(Note 13)</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1,088,108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572,709</w:t>
            </w:r>
          </w:p>
        </w:tc>
      </w:tr>
      <w:tr>
        <w:trPr>
          <w:trHeight w:val="24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Pensions (Note 16) and other employee benefits</w:t>
            </w: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139,464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143,834</w:t>
            </w: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46,151</w:t>
            </w:r>
          </w:p>
        </w:tc>
      </w:tr>
      <w:tr>
        <w:trPr>
          <w:trHeight w:val="24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 (Note 11)</w:t>
            </w: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172,328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127,540</w:t>
            </w:r>
          </w:p>
        </w:tc>
      </w:tr>
      <w:tr>
        <w:trPr>
          <w:trHeight w:val="243"/>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7,917</w:t>
            </w:r>
          </w:p>
        </w:tc>
      </w:tr>
      <w:tr>
        <w:trPr>
          <w:trHeight w:val="23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1,844,325</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1,187,362</w:t>
            </w:r>
          </w:p>
        </w:tc>
      </w:tr>
      <w:tr>
        <w:trPr>
          <w:trHeight w:val="129"/>
        </w:trPr>
        <w:tc>
          <w:tcPr>
            <w:tcW w:w="7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24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4.5% cumulative, $50 par value (Note 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w:t>
            </w:r>
          </w:p>
        </w:tc>
      </w:tr>
      <w:tr>
        <w:trPr>
          <w:trHeight w:val="24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no par value (Note 8)</w:t>
            </w: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360,106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343,842</w:t>
            </w: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shares, at cost (Note 8)</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(484,848)</w:t>
            </w:r>
          </w:p>
        </w:tc>
      </w:tr>
      <w:tr>
        <w:trPr>
          <w:trHeight w:val="24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(Note 7)</w:t>
            </w: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(41,781)</w:t>
            </w:r>
          </w:p>
        </w:tc>
      </w:tr>
      <w:tr>
        <w:trPr>
          <w:trHeight w:val="243"/>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1,699,841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1,546,230</w:t>
            </w:r>
          </w:p>
        </w:tc>
      </w:tr>
      <w:tr>
        <w:trPr>
          <w:trHeight w:val="23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1,433,987</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1,367,012</w:t>
            </w:r>
          </w:p>
        </w:tc>
      </w:tr>
      <w:tr>
        <w:trPr>
          <w:trHeight w:val="237"/>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3,278,312</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2,554,374</w:t>
            </w: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MSA SAFETY INCORPORATED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3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43"/>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215,859</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191,991</w:t>
            </w:r>
          </w:p>
        </w:tc>
      </w:tr>
      <w:tr>
        <w:trPr>
          <w:trHeight w:val="243"/>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60,683</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52,935</w:t>
            </w:r>
          </w:p>
        </w:tc>
      </w:tr>
      <w:tr>
        <w:trPr>
          <w:trHeight w:val="243"/>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(Note 12)</w:t>
            </w:r>
          </w:p>
        </w:tc>
        <w:tc>
          <w:tcPr>
            <w:tcW w:w="4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11,350</w:t>
            </w:r>
          </w:p>
        </w:tc>
      </w:tr>
      <w:tr>
        <w:trPr>
          <w:trHeight w:val="243"/>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Pension income (Note 16)</w:t>
            </w:r>
          </w:p>
        </w:tc>
        <w:tc>
          <w:tcPr>
            <w:tcW w:w="4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(10,681)</w:t>
            </w:r>
          </w:p>
        </w:tc>
      </w:tr>
      <w:tr>
        <w:trPr>
          <w:trHeight w:val="243"/>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 benefit (Note 11)</w:t>
            </w:r>
          </w:p>
        </w:tc>
        <w:tc>
          <w:tcPr>
            <w:tcW w:w="4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43"/>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asset dispositions, net</w:t>
            </w:r>
          </w:p>
        </w:tc>
        <w:tc>
          <w:tcPr>
            <w:tcW w:w="4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243"/>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 contributions (Note 16)</w:t>
            </w:r>
          </w:p>
        </w:tc>
        <w:tc>
          <w:tcPr>
            <w:tcW w:w="4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w:t>
            </w:r>
          </w:p>
        </w:tc>
      </w:tr>
      <w:tr>
        <w:trPr>
          <w:trHeight w:val="243"/>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Currency exchange losses, net</w:t>
            </w:r>
          </w:p>
        </w:tc>
        <w:tc>
          <w:tcPr>
            <w:tcW w:w="4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13,237</w:t>
            </w:r>
          </w:p>
        </w:tc>
      </w:tr>
      <w:tr>
        <w:trPr>
          <w:trHeight w:val="243"/>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w:t>
            </w:r>
          </w:p>
        </w:tc>
        <w:tc>
          <w:tcPr>
            <w:tcW w:w="4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7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Trade receivables</w:t>
            </w:r>
          </w:p>
        </w:tc>
        <w:tc>
          <w:tcPr>
            <w:tcW w:w="4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w:t>
            </w:r>
          </w:p>
        </w:tc>
      </w:tr>
      <w:tr>
        <w:trPr>
          <w:trHeight w:val="243"/>
        </w:trPr>
        <w:tc>
          <w:tcPr>
            <w:tcW w:w="7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Inventories (Note 5)</w:t>
            </w:r>
          </w:p>
        </w:tc>
        <w:tc>
          <w:tcPr>
            <w:tcW w:w="4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(23,082)</w:t>
            </w:r>
          </w:p>
        </w:tc>
      </w:tr>
      <w:tr>
        <w:trPr>
          <w:trHeight w:val="243"/>
        </w:trPr>
        <w:tc>
          <w:tcPr>
            <w:tcW w:w="7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22,859</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w:t>
            </w:r>
          </w:p>
        </w:tc>
      </w:tr>
      <w:tr>
        <w:trPr>
          <w:trHeight w:val="243"/>
        </w:trPr>
        <w:tc>
          <w:tcPr>
            <w:tcW w:w="7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current assets and liabilities</w:t>
            </w:r>
          </w:p>
        </w:tc>
        <w:tc>
          <w:tcPr>
            <w:tcW w:w="4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10,942</w:t>
            </w:r>
          </w:p>
        </w:tc>
      </w:tr>
      <w:tr>
        <w:trPr>
          <w:trHeight w:val="243"/>
        </w:trPr>
        <w:tc>
          <w:tcPr>
            <w:tcW w:w="7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4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r>
      <w:tr>
        <w:trPr>
          <w:trHeight w:val="236"/>
        </w:trPr>
        <w:tc>
          <w:tcPr>
            <w:tcW w:w="7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4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253,375</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241,513</w:t>
            </w: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43"/>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Acquisitions, net of cash acquired (Note 15)</w:t>
            </w:r>
          </w:p>
        </w:tc>
        <w:tc>
          <w:tcPr>
            <w:tcW w:w="4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(563,087)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(187,774)</w:t>
            </w:r>
          </w:p>
        </w:tc>
      </w:tr>
      <w:tr>
        <w:trPr>
          <w:trHeight w:val="243"/>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4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(37,388)</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(52,104)</w:t>
            </w:r>
          </w:p>
        </w:tc>
      </w:tr>
      <w:tr>
        <w:trPr>
          <w:trHeight w:val="243"/>
        </w:trPr>
        <w:tc>
          <w:tcPr>
            <w:tcW w:w="7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Property disposals and other investing</w:t>
            </w:r>
          </w:p>
        </w:tc>
        <w:tc>
          <w:tcPr>
            <w:tcW w:w="4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Cash Flow Used in Investing Activities</w:t>
            </w:r>
          </w:p>
        </w:tc>
        <w:tc>
          <w:tcPr>
            <w:tcW w:w="40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(600,439)</w:t>
            </w: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(239,859)</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43"/>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long-term debt (Note 13)</w:t>
            </w:r>
          </w:p>
        </w:tc>
        <w:tc>
          <w:tcPr>
            <w:tcW w:w="4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1,692,464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836,712</w:t>
            </w:r>
          </w:p>
        </w:tc>
      </w:tr>
      <w:tr>
        <w:trPr>
          <w:trHeight w:val="243"/>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on long-term debt (Note 13)</w:t>
            </w:r>
          </w:p>
        </w:tc>
        <w:tc>
          <w:tcPr>
            <w:tcW w:w="4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(721,384)</w:t>
            </w:r>
          </w:p>
        </w:tc>
      </w:tr>
      <w:tr>
        <w:trPr>
          <w:trHeight w:val="243"/>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issuance costs</w:t>
            </w:r>
          </w:p>
        </w:tc>
        <w:tc>
          <w:tcPr>
            <w:tcW w:w="4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w:t>
            </w:r>
          </w:p>
        </w:tc>
      </w:tr>
      <w:tr>
        <w:trPr>
          <w:trHeight w:val="243"/>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dividends paid</w:t>
            </w:r>
          </w:p>
        </w:tc>
        <w:tc>
          <w:tcPr>
            <w:tcW w:w="4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(61,638)</w:t>
            </w:r>
          </w:p>
        </w:tc>
      </w:tr>
      <w:tr>
        <w:trPr>
          <w:trHeight w:val="243"/>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Company stock purchases (Note 8)</w:t>
            </w:r>
          </w:p>
        </w:tc>
        <w:tc>
          <w:tcPr>
            <w:tcW w:w="4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(99,306)</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(50,025)</w:t>
            </w:r>
          </w:p>
        </w:tc>
      </w:tr>
      <w:tr>
        <w:trPr>
          <w:trHeight w:val="243"/>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Exercise of stock options (Note 8)</w:t>
            </w:r>
          </w:p>
        </w:tc>
        <w:tc>
          <w:tcPr>
            <w:tcW w:w="4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43"/>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Employee stock purchase plan (Note 8)</w:t>
            </w:r>
          </w:p>
        </w:tc>
        <w:tc>
          <w:tcPr>
            <w:tcW w:w="4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37"/>
        </w:trPr>
        <w:tc>
          <w:tcPr>
            <w:tcW w:w="7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4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382,009</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w:t>
            </w:r>
          </w:p>
        </w:tc>
      </w:tr>
      <w:tr>
        <w:trPr>
          <w:trHeight w:val="23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cash equivalents and restricted cash</w:t>
            </w:r>
          </w:p>
        </w:tc>
        <w:tc>
          <w:tcPr>
            <w:tcW w:w="40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r>
      <w:tr>
        <w:trPr>
          <w:trHeight w:val="237"/>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cash, cash equivalents and restricted cash</w:t>
            </w:r>
          </w:p>
        </w:tc>
        <w:tc>
          <w:tcPr>
            <w:tcW w:w="4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5,830</w:t>
            </w:r>
          </w:p>
        </w:tc>
      </w:tr>
      <w:tr>
        <w:trPr>
          <w:trHeight w:val="24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cash, cash equivalents and restricted cash</w:t>
            </w:r>
          </w:p>
        </w:tc>
        <w:tc>
          <w:tcPr>
            <w:tcW w:w="4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165,992</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165,097</w:t>
            </w:r>
          </w:p>
        </w:tc>
      </w:tr>
      <w:tr>
        <w:trPr>
          <w:trHeight w:val="237"/>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cash, cash equivalents and restricted cash</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188,460</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170,927</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7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4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187,248</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169,998</w:t>
            </w:r>
          </w:p>
        </w:tc>
      </w:tr>
      <w:tr>
        <w:trPr>
          <w:trHeight w:val="243"/>
        </w:trPr>
        <w:tc>
          <w:tcPr>
            <w:tcW w:w="7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4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61"/>
        </w:trPr>
        <w:tc>
          <w:tcPr>
            <w:tcW w:w="7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188,460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170,927</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MSA SAFETY INCORPORATED</w:t>
      </w:r>
    </w:p>
    <w:p>
      <w:pPr>
        <w:spacing w:after="0" w:line="11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RETAINED EARNINGS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ACCUMULATED OTHER COMPREHENSIVE LOSS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162"/>
        </w:trPr>
        <w:tc>
          <w:tcPr>
            <w:tcW w:w="6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40" w:type="dxa"/>
            <w:vAlign w:val="bottom"/>
          </w:tcPr>
          <w:p>
            <w:pPr>
              <w:spacing w:after="0"/>
              <w:rPr>
                <w:sz w:val="14"/>
                <w:szCs w:val="14"/>
                <w:color w:val="auto"/>
              </w:rPr>
            </w:pPr>
          </w:p>
        </w:tc>
        <w:tc>
          <w:tcPr>
            <w:tcW w:w="1580" w:type="dxa"/>
            <w:vAlign w:val="bottom"/>
          </w:tcPr>
          <w:p>
            <w:pPr>
              <w:jc w:val="center"/>
              <w:ind w:right="151"/>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0" w:type="dxa"/>
            <w:vAlign w:val="bottom"/>
          </w:tcPr>
          <w:p>
            <w:pPr>
              <w:spacing w:after="0"/>
              <w:rPr>
                <w:sz w:val="1"/>
                <w:szCs w:val="1"/>
                <w:color w:val="auto"/>
              </w:rPr>
            </w:pPr>
          </w:p>
        </w:tc>
      </w:tr>
      <w:tr>
        <w:trPr>
          <w:trHeight w:val="162"/>
        </w:trPr>
        <w:tc>
          <w:tcPr>
            <w:tcW w:w="68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 share values)</w:t>
            </w:r>
          </w:p>
        </w:tc>
        <w:tc>
          <w:tcPr>
            <w:tcW w:w="98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center"/>
              <w:ind w:right="151"/>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0" w:type="dxa"/>
            <w:vAlign w:val="bottom"/>
          </w:tcPr>
          <w:p>
            <w:pPr>
              <w:spacing w:after="0"/>
              <w:rPr>
                <w:sz w:val="1"/>
                <w:szCs w:val="1"/>
                <w:color w:val="auto"/>
              </w:rPr>
            </w:pPr>
          </w:p>
        </w:tc>
      </w:tr>
      <w:tr>
        <w:trPr>
          <w:trHeight w:val="214"/>
        </w:trPr>
        <w:tc>
          <w:tcPr>
            <w:tcW w:w="68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38"/>
        </w:trPr>
        <w:tc>
          <w:tcPr>
            <w:tcW w:w="6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June 30, 2026</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1,662,279</w:t>
            </w:r>
          </w:p>
        </w:tc>
        <w:tc>
          <w:tcPr>
            <w:tcW w:w="1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(49,480)</w:t>
            </w:r>
          </w:p>
        </w:tc>
        <w:tc>
          <w:tcPr>
            <w:tcW w:w="0" w:type="dxa"/>
            <w:vAlign w:val="bottom"/>
          </w:tcPr>
          <w:p>
            <w:pPr>
              <w:spacing w:after="0"/>
              <w:rPr>
                <w:sz w:val="1"/>
                <w:szCs w:val="1"/>
                <w:color w:val="auto"/>
              </w:rPr>
            </w:pPr>
          </w:p>
        </w:tc>
      </w:tr>
      <w:tr>
        <w:trPr>
          <w:trHeight w:val="23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58,396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8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4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post-retirement plan adjustments, net of tax benefit of $59</w:t>
            </w:r>
          </w:p>
        </w:tc>
        <w:tc>
          <w:tcPr>
            <w:tcW w:w="98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4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net loss on cash flow hedges (Note 7)</w:t>
            </w:r>
          </w:p>
        </w:tc>
        <w:tc>
          <w:tcPr>
            <w:tcW w:w="98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from accumulated other comprehensive loss into net income (Note 7)</w:t>
            </w:r>
          </w:p>
        </w:tc>
        <w:tc>
          <w:tcPr>
            <w:tcW w:w="98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4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dividends ($0.54 per share)</w:t>
            </w:r>
          </w:p>
        </w:tc>
        <w:tc>
          <w:tcPr>
            <w:tcW w:w="9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(20,824)</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Preferred dividends ($0.5625 per share)</w:t>
            </w:r>
          </w:p>
        </w:tc>
        <w:tc>
          <w:tcPr>
            <w:tcW w:w="9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September 30, 2026</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1,699,841</w:t>
            </w:r>
          </w:p>
        </w:tc>
        <w:tc>
          <w:tcPr>
            <w:tcW w:w="1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(49,437)</w:t>
            </w:r>
          </w:p>
        </w:tc>
        <w:tc>
          <w:tcPr>
            <w:tcW w:w="0" w:type="dxa"/>
            <w:vAlign w:val="bottom"/>
          </w:tcPr>
          <w:p>
            <w:pPr>
              <w:spacing w:after="0"/>
              <w:rPr>
                <w:sz w:val="1"/>
                <w:szCs w:val="1"/>
                <w:color w:val="auto"/>
              </w:rPr>
            </w:pPr>
          </w:p>
        </w:tc>
      </w:tr>
      <w:tr>
        <w:trPr>
          <w:trHeight w:val="128"/>
        </w:trPr>
        <w:tc>
          <w:tcPr>
            <w:tcW w:w="6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6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June 30, 2025</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1,431,147</w:t>
            </w: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(74,526)</w:t>
            </w:r>
          </w:p>
        </w:tc>
        <w:tc>
          <w:tcPr>
            <w:tcW w:w="0" w:type="dxa"/>
            <w:vAlign w:val="bottom"/>
          </w:tcPr>
          <w:p>
            <w:pPr>
              <w:spacing w:after="0"/>
              <w:rPr>
                <w:sz w:val="1"/>
                <w:szCs w:val="1"/>
                <w:color w:val="auto"/>
              </w:rPr>
            </w:pPr>
          </w:p>
        </w:tc>
      </w:tr>
      <w:tr>
        <w:trPr>
          <w:trHeight w:val="237"/>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8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24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post-retirement plan adjustments, net of tax benefit of $84</w:t>
            </w:r>
          </w:p>
        </w:tc>
        <w:tc>
          <w:tcPr>
            <w:tcW w:w="98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4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dividends ($0.53 per share)</w:t>
            </w:r>
          </w:p>
        </w:tc>
        <w:tc>
          <w:tcPr>
            <w:tcW w:w="9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(20,747)</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Preferred dividends ($0.5625 per share)</w:t>
            </w:r>
          </w:p>
        </w:tc>
        <w:tc>
          <w:tcPr>
            <w:tcW w:w="9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September 30, 2025</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1,480,003</w:t>
            </w:r>
          </w:p>
        </w:tc>
        <w:tc>
          <w:tcPr>
            <w:tcW w:w="1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(75,849)</w:t>
            </w:r>
          </w:p>
        </w:tc>
        <w:tc>
          <w:tcPr>
            <w:tcW w:w="0" w:type="dxa"/>
            <w:vAlign w:val="bottom"/>
          </w:tcPr>
          <w:p>
            <w:pPr>
              <w:spacing w:after="0"/>
              <w:rPr>
                <w:sz w:val="1"/>
                <w:szCs w:val="1"/>
                <w:color w:val="auto"/>
              </w:rPr>
            </w:pPr>
          </w:p>
        </w:tc>
      </w:tr>
      <w:tr>
        <w:trPr>
          <w:trHeight w:val="128"/>
        </w:trPr>
        <w:tc>
          <w:tcPr>
            <w:tcW w:w="68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6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1,546,230</w:t>
            </w:r>
          </w:p>
        </w:tc>
        <w:tc>
          <w:tcPr>
            <w:tcW w:w="1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(41,781)</w:t>
            </w:r>
          </w:p>
        </w:tc>
        <w:tc>
          <w:tcPr>
            <w:tcW w:w="0" w:type="dxa"/>
            <w:vAlign w:val="bottom"/>
          </w:tcPr>
          <w:p>
            <w:pPr>
              <w:spacing w:after="0"/>
              <w:rPr>
                <w:sz w:val="1"/>
                <w:szCs w:val="1"/>
                <w:color w:val="auto"/>
              </w:rPr>
            </w:pPr>
          </w:p>
        </w:tc>
      </w:tr>
      <w:tr>
        <w:trPr>
          <w:trHeight w:val="237"/>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215,859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8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w:t>
            </w:r>
          </w:p>
        </w:tc>
        <w:tc>
          <w:tcPr>
            <w:tcW w:w="0" w:type="dxa"/>
            <w:vAlign w:val="bottom"/>
          </w:tcPr>
          <w:p>
            <w:pPr>
              <w:spacing w:after="0"/>
              <w:rPr>
                <w:sz w:val="1"/>
                <w:szCs w:val="1"/>
                <w:color w:val="auto"/>
              </w:rPr>
            </w:pPr>
          </w:p>
        </w:tc>
      </w:tr>
      <w:tr>
        <w:trPr>
          <w:trHeight w:val="24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post-retirement plan adjustments, net of tax benefit of $162</w:t>
            </w:r>
          </w:p>
        </w:tc>
        <w:tc>
          <w:tcPr>
            <w:tcW w:w="98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4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net loss on cash flow hedges (Note 7)</w:t>
            </w:r>
          </w:p>
        </w:tc>
        <w:tc>
          <w:tcPr>
            <w:tcW w:w="98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from accumulated other comprehensive loss into net income (Note 7)</w:t>
            </w:r>
          </w:p>
        </w:tc>
        <w:tc>
          <w:tcPr>
            <w:tcW w:w="98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dividends ($1.61 per share)</w:t>
            </w:r>
          </w:p>
        </w:tc>
        <w:tc>
          <w:tcPr>
            <w:tcW w:w="9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(62,218)</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Preferred dividends ($1.6875 per share)</w:t>
            </w:r>
          </w:p>
        </w:tc>
        <w:tc>
          <w:tcPr>
            <w:tcW w:w="9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6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September 30, 2026</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1,699,841</w:t>
            </w:r>
          </w:p>
        </w:tc>
        <w:tc>
          <w:tcPr>
            <w:tcW w:w="1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(49,437)</w:t>
            </w:r>
          </w:p>
        </w:tc>
        <w:tc>
          <w:tcPr>
            <w:tcW w:w="0" w:type="dxa"/>
            <w:vAlign w:val="bottom"/>
          </w:tcPr>
          <w:p>
            <w:pPr>
              <w:spacing w:after="0"/>
              <w:rPr>
                <w:sz w:val="1"/>
                <w:szCs w:val="1"/>
                <w:color w:val="auto"/>
              </w:rPr>
            </w:pPr>
          </w:p>
        </w:tc>
      </w:tr>
      <w:tr>
        <w:trPr>
          <w:trHeight w:val="129"/>
        </w:trPr>
        <w:tc>
          <w:tcPr>
            <w:tcW w:w="68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6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2024</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1,349,650</w:t>
            </w:r>
          </w:p>
        </w:tc>
        <w:tc>
          <w:tcPr>
            <w:tcW w:w="1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(141,649)</w:t>
            </w:r>
          </w:p>
        </w:tc>
        <w:tc>
          <w:tcPr>
            <w:tcW w:w="0" w:type="dxa"/>
            <w:vAlign w:val="bottom"/>
          </w:tcPr>
          <w:p>
            <w:pPr>
              <w:spacing w:after="0"/>
              <w:rPr>
                <w:sz w:val="1"/>
                <w:szCs w:val="1"/>
                <w:color w:val="auto"/>
              </w:rPr>
            </w:pPr>
          </w:p>
        </w:tc>
      </w:tr>
      <w:tr>
        <w:trPr>
          <w:trHeight w:val="237"/>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191,991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8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65,049</w:t>
            </w:r>
          </w:p>
        </w:tc>
        <w:tc>
          <w:tcPr>
            <w:tcW w:w="0" w:type="dxa"/>
            <w:vAlign w:val="bottom"/>
          </w:tcPr>
          <w:p>
            <w:pPr>
              <w:spacing w:after="0"/>
              <w:rPr>
                <w:sz w:val="1"/>
                <w:szCs w:val="1"/>
                <w:color w:val="auto"/>
              </w:rPr>
            </w:pPr>
          </w:p>
        </w:tc>
      </w:tr>
      <w:tr>
        <w:trPr>
          <w:trHeight w:val="24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post-retirement plan adjustments, net of tax benefit of $425</w:t>
            </w:r>
          </w:p>
        </w:tc>
        <w:tc>
          <w:tcPr>
            <w:tcW w:w="98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4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dividends ($1.57 per share)</w:t>
            </w:r>
          </w:p>
        </w:tc>
        <w:tc>
          <w:tcPr>
            <w:tcW w:w="9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(61,608)</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Preferred dividends ($1.6875 per share)</w:t>
            </w:r>
          </w:p>
        </w:tc>
        <w:tc>
          <w:tcPr>
            <w:tcW w:w="9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6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September 30, 2025</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1,480,003</w:t>
            </w:r>
          </w:p>
        </w:tc>
        <w:tc>
          <w:tcPr>
            <w:tcW w:w="1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(75,849)</w:t>
            </w: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MSA SAFETY INCORPORATED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1—Basis of Presentation</w:t>
      </w:r>
    </w:p>
    <w:p>
      <w:pPr>
        <w:spacing w:after="0" w:line="175" w:lineRule="exact"/>
        <w:rPr>
          <w:sz w:val="20"/>
          <w:szCs w:val="20"/>
          <w:color w:val="auto"/>
        </w:rPr>
      </w:pPr>
    </w:p>
    <w:p>
      <w:pPr>
        <w:ind w:right="120" w:firstLine="445"/>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of MSA Safety Incorporated and its subsidiaries (“MSA” or “the Company”) are unaudited. These unaudited condensed consolidated financial statements include all adjustments, consisting of normal recurring adjustments, considered necessary by management to fairly state the Company's results. Intercompany accounts and transactions have been eliminated. The results reported in these unaudited condensed consolidated financial statements are not necessarily indicative of the results that may be expected for the entire year. The December 31, 2025, Balance Sheet data was derived from the audited Consolidated Balance Sheets, but does not include all disclosures required by accounting principles generally accepted in the United States of America (“U.S. GAAP”). This Form 10-Q report should be read in conjunction with MSA's Form 10-K for the year ended December 31, 2025, which includes all disclosures required by U.S. GAAP.</w:t>
      </w:r>
    </w:p>
    <w:p>
      <w:pPr>
        <w:spacing w:after="0" w:line="94" w:lineRule="exact"/>
        <w:rPr>
          <w:sz w:val="20"/>
          <w:szCs w:val="20"/>
          <w:color w:val="auto"/>
        </w:rPr>
      </w:pPr>
    </w:p>
    <w:p>
      <w:pPr>
        <w:ind w:firstLine="405"/>
        <w:spacing w:after="0" w:line="226" w:lineRule="exact"/>
        <w:rPr>
          <w:sz w:val="20"/>
          <w:szCs w:val="20"/>
          <w:color w:val="auto"/>
        </w:rPr>
      </w:pPr>
      <w:r>
        <w:rPr>
          <w:rFonts w:ascii="Times New Roman" w:cs="Times New Roman" w:eastAsia="Times New Roman" w:hAnsi="Times New Roman"/>
          <w:sz w:val="18"/>
          <w:szCs w:val="18"/>
          <w:color w:val="auto"/>
        </w:rPr>
        <w:t>In the first quarter 2026, the Company early adopted Accounting Standards Update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06, </w:t>
      </w:r>
      <w:r>
        <w:rPr>
          <w:rFonts w:ascii="Times New Roman" w:cs="Times New Roman" w:eastAsia="Times New Roman" w:hAnsi="Times New Roman"/>
          <w:sz w:val="18"/>
          <w:szCs w:val="18"/>
          <w:i w:val="1"/>
          <w:iCs w:val="1"/>
          <w:color w:val="auto"/>
        </w:rPr>
        <w:t>Targeted Improvements to the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The ASU updates guidance related to recognition and capitalization costs incurred to develop or obtain internal-use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certain cloud-based software arrangements, and clarifies related disclosure requirements. The Company adopted the ASU prospectively as of January 1, 2026, in accordance with the transition provisions of the standard. Accordingly, amounts capitalized prior to the adoption date were not adjusted, and the new guidance applies only to qualifying costs incurred after adoption. Therefore, the adoption of the standard did not have an impact on the Company’s condensed consolidated financial statements for the nine months ended September 30, 2026.</w:t>
      </w:r>
    </w:p>
    <w:p>
      <w:pPr>
        <w:spacing w:after="0" w:line="148"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Refer to Note 1 to the consolidated financial statements in Part II Item 8 of MSA's 2025 Form 10-K for a discussion of applicable standards issued and not yet adopted by the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2—Revenue Recognition</w:t>
      </w:r>
    </w:p>
    <w:p>
      <w:pPr>
        <w:spacing w:after="0" w:line="175"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We are the global leader in advanced industrial safety technology products and solutions, and generate revenue primarily from manufacturing and selling a comprehensive line of safety products and solutions to protect the health and safety of workers and facility infrastructures around the world. Our customers generally fall into two categories: distributors and end-users. All customer categories have similar nature, timing, and uncertainty related to cash flows. As a result, the underlying principles of revenue recognition are identical for both categories of customers.</w:t>
      </w:r>
    </w:p>
    <w:p>
      <w:pPr>
        <w:spacing w:after="0" w:line="124" w:lineRule="exact"/>
        <w:rPr>
          <w:sz w:val="20"/>
          <w:szCs w:val="20"/>
          <w:color w:val="auto"/>
        </w:rPr>
      </w:pPr>
    </w:p>
    <w:p>
      <w:pPr>
        <w:ind w:right="60" w:firstLine="445"/>
        <w:spacing w:after="0" w:line="257" w:lineRule="auto"/>
        <w:rPr>
          <w:sz w:val="20"/>
          <w:szCs w:val="20"/>
          <w:color w:val="auto"/>
        </w:rPr>
      </w:pPr>
      <w:r>
        <w:rPr>
          <w:rFonts w:ascii="Times New Roman" w:cs="Times New Roman" w:eastAsia="Times New Roman" w:hAnsi="Times New Roman"/>
          <w:sz w:val="18"/>
          <w:szCs w:val="18"/>
          <w:color w:val="auto"/>
        </w:rPr>
        <w:t xml:space="preserve">We account for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Revenue from the sale of products and solutions is recognized when there is persuasive evidence of an arrangement and control passes to the customer, which generally occurs either when product is shipped to the customer or, in the case of certain customers, when product is delivered to the customer's site. We establish our shipping terms according to local practice and market characteristics. We do not ship product unless we have an order or other documentation authorizing shipment to our customers. Our payment terms vary by the type and location of our customer and the products and solutions offered; however, in most cases, the term between invoicing and when payment is due is not significant.</w:t>
      </w:r>
    </w:p>
    <w:p>
      <w:pPr>
        <w:spacing w:after="0" w:line="130"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Revenue is measured as the amount of consideration we expect to receive in exchange for transferring goods or providing services. Amounts billed and due from our customers are classified as receivables on the unaudited Condensed Consolidated Balance Sheets. We make appropriate provisions for credit losses, which have historically been insignificant in relation to our net sales. Certain contracts with customers may have an element of variable consideration that is estimated when revenue is recognized under the contract. Variable consideration could include volume incentive rebates and performance guarantees. Rebates are based on achieving a certain level of purchases and other performance criteria that are documented in established distributor programs. These rebates are estimated based on projected sales to the customer and accrued as a reduction of net sales as they are earned by the customer. Sales, value added, and other taxes collected with revenue-producing activities and remitted to governmental authorities are excluded from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Depending on the terms of the arrangement, we may defer revenue for which we have a future obligation, which may include leases where the Company is the lessor, training, extended warranty, software subscriptions, maintenance and technical services, until such time that the obligation has been satisfied. We use an observable price, or a cost plus margin approach when one is not available, to determine the stand-alone selling price for separate performance obligations. We have elected to recognize the cost for shipping and handling as an expense when control of the product has passed to the customer. These costs are included within the Cost of products sold line on the unaudited Condensed Consolidated Statements of Income. Amounts billed to customers for shipping and handling are included within the Net sales line on the unaudited Condensed Consolidated Statements of Income.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Obligations</w:t>
      </w:r>
    </w:p>
    <w:p>
      <w:pPr>
        <w:spacing w:after="0" w:line="175"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Company recognizes revenue when performance obligations identified under the terms of the contract with its customers are satisfied, which generally occurs upon the transfer of control in accordance with the contractual terms and conditions of sale. For most contracts with customers, this results in point-in-time revenue recognition once contractual shipping terms are fulfilled.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75"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Refer to Note 9—Segment Information for disaggregation of revenue by segment and product category, as we believe this best depicts how the nature, amount, timing and uncertainty of our revenue and cash flows are affected by economic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Lessor Arrangements</w:t>
      </w:r>
    </w:p>
    <w:p>
      <w:pPr>
        <w:spacing w:after="0" w:line="175" w:lineRule="exact"/>
        <w:rPr>
          <w:sz w:val="20"/>
          <w:szCs w:val="20"/>
          <w:color w:val="auto"/>
        </w:rPr>
      </w:pPr>
    </w:p>
    <w:p>
      <w:pPr>
        <w:jc w:val="both"/>
        <w:ind w:right="520" w:firstLine="445"/>
        <w:spacing w:after="0" w:line="266" w:lineRule="auto"/>
        <w:rPr>
          <w:sz w:val="20"/>
          <w:szCs w:val="20"/>
          <w:color w:val="auto"/>
        </w:rPr>
      </w:pPr>
      <w:r>
        <w:rPr>
          <w:rFonts w:ascii="Times New Roman" w:cs="Times New Roman" w:eastAsia="Times New Roman" w:hAnsi="Times New Roman"/>
          <w:sz w:val="18"/>
          <w:szCs w:val="18"/>
          <w:color w:val="auto"/>
        </w:rPr>
        <w:t>The Company derives a portion of its revenue from various leasing contracts where the Company is the lessor, primarily managed fire service contracts. Such arrangements provide for recurring payments throughout the contract term. These payments cover equipment provided in addition to several services which include maintenance and interest.</w:t>
      </w:r>
    </w:p>
    <w:p>
      <w:pPr>
        <w:spacing w:after="0" w:line="120"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 xml:space="preserve">Managed fire service contracts meet the criteria to be accounted for as sales-type leases.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these contracts contain both lease and non-lease components. For a component to be separate, the customer would be able to benefit from the right of use of the component separately or with other resources readily available to the customer and the right of use is not highly dependent or highly interrelated with the other rights to use the other underlying assets or components.</w:t>
      </w:r>
    </w:p>
    <w:p>
      <w:pPr>
        <w:spacing w:after="0" w:line="128"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For managed fire service contracts, revenue from equipment provided is considered a lease component and recognized with point in time revenue recognition upon lease commencement. Upon the recognition of such revenue, an asset is established for the investment in sales-type leases. Maintenance revenue, which is considered a non-lease component, and interest are recognized monthly over the lease term. As of September 30, 2026, remaining maintenance performance obligations for managed fire service contracts were $21.1 million, which are expected to be recognized as revenue over the remaining contract lives which are primarily two years.</w:t>
      </w:r>
    </w:p>
    <w:p>
      <w:pPr>
        <w:spacing w:after="0" w:line="129"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Lease revenues and interest earned by the Company, which are included in the unaudited Condensed Consolidated Statements of Income, were not material for the three and nine month periods ended September 30, 2026, or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Practical Expedients and Exemptions</w:t>
      </w:r>
    </w:p>
    <w:p>
      <w:pPr>
        <w:spacing w:after="0" w:line="175" w:lineRule="exact"/>
        <w:rPr>
          <w:sz w:val="20"/>
          <w:szCs w:val="20"/>
          <w:color w:val="auto"/>
        </w:rPr>
      </w:pPr>
    </w:p>
    <w:p>
      <w:pPr>
        <w:ind w:right="420" w:firstLine="445"/>
        <w:spacing w:after="0" w:line="282" w:lineRule="auto"/>
        <w:rPr>
          <w:sz w:val="20"/>
          <w:szCs w:val="20"/>
          <w:color w:val="auto"/>
        </w:rPr>
      </w:pPr>
      <w:r>
        <w:rPr>
          <w:rFonts w:ascii="Times New Roman" w:cs="Times New Roman" w:eastAsia="Times New Roman" w:hAnsi="Times New Roman"/>
          <w:sz w:val="18"/>
          <w:szCs w:val="18"/>
          <w:color w:val="auto"/>
        </w:rPr>
        <w:t>We do not disclose the value of unsatisfied performance obligations for (i) contracts with an original expected length of one year or less and (ii) contracts for which we recognize revenue at the amount to which we have the right to invoice for services performed.</w:t>
      </w:r>
    </w:p>
    <w:p>
      <w:pPr>
        <w:spacing w:after="0" w:line="108"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We do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08"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We generally expense sales commissions when incurred because the amortization period would have been one year or less. These costs are recorded within selling, general and administrative expenses in our unaudited Condensed Consolidated Statements of Income.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3—Cash and Cash Equivalents</w:t>
      </w:r>
    </w:p>
    <w:p>
      <w:pPr>
        <w:spacing w:after="0" w:line="175"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Several of the Company's subsidiaries participate in a notional cash pooling arrangement to manage global liquidity requirements. As part of a master netting arrangement, the participants combine their cash balances in pooling accounts at the same financial institution with the ability to offset bank overdrafts of one participant against positive cash account balances held by another participant. Under the terms of the master netting arrangement, the financial institution has the right, ability and intent to offset a positive balance in one account against an overdrawn amount in another account. Amounts in each of the accounts are unencumbered and unrestricted with respect to use. As such, the net cash balance related to this pooling arrangement is included in Cash and cash equivalents in the unaudited Condensed Consolidated Balance Sheets.</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net cash pool position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18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23"/>
        </w:trPr>
        <w:tc>
          <w:tcPr>
            <w:tcW w:w="9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cash pool position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106,392</w:t>
            </w:r>
          </w:p>
        </w:tc>
      </w:tr>
      <w:tr>
        <w:trPr>
          <w:trHeight w:val="243"/>
        </w:trPr>
        <w:tc>
          <w:tcPr>
            <w:tcW w:w="9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pool borrowings</w:t>
            </w:r>
          </w:p>
        </w:tc>
        <w:tc>
          <w:tcPr>
            <w:tcW w:w="2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100,391</w:t>
            </w:r>
          </w:p>
        </w:tc>
      </w:tr>
      <w:tr>
        <w:trPr>
          <w:trHeight w:val="237"/>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pool position</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4—Restructuring Charges</w:t>
      </w:r>
    </w:p>
    <w:p>
      <w:pPr>
        <w:spacing w:after="0" w:line="121"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2026, we recorded $1.8 million and $6.3 million of restructuring charges. Americas and International segments' restructuring charges of $2.0 million and $2.4 million, respectively, during the nine months ended September 30, 2026, were primarily related to footprint optimization and other ongoing initiatives to right-size the organization in response to macroeconomic conditions. Corporate related restructuring charges of $1.9 million during the nine months ended September 30, 2026, were related to management restructuring and to initiatives to right-size the organization in response to macroeconomic conditions.</w:t>
      </w:r>
    </w:p>
    <w:p>
      <w:pPr>
        <w:spacing w:after="0" w:line="75"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2025, we recorded nominal and $2.5 million of restructuring charges. Americas segment restructuring charges of $0.5 million during the nine months ended September 30, 2025, were related to initiatives to right-size the organization in response to macroeconomic conditions. International segment restructuring charges of $1.0 million during the nine months ended September 30, 2025, were primarily related to ongoing initiatives to optimize our manufacturing footprint and initiatives to right-size the organization in response to macroeconomic conditions. Corporate segment restructuring charges of $1.0 million during the nine months ended September 30, 2025, were related to initiatives to right-size the organization in response to macroeconomic conditions.</w:t>
      </w:r>
    </w:p>
    <w:p>
      <w:pPr>
        <w:spacing w:after="0" w:line="79"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Restructuring reserves are included in Other current liabilities in the accompanying unaudited Condensed Consolidated Balance Sheets. Activity and reserve balances for restructuring by segment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 w:type="dxa"/>
            <w:vAlign w:val="bottom"/>
          </w:tcPr>
          <w:p>
            <w:pPr>
              <w:spacing w:after="0"/>
              <w:rPr>
                <w:sz w:val="13"/>
                <w:szCs w:val="13"/>
                <w:color w:val="auto"/>
              </w:rPr>
            </w:pPr>
          </w:p>
        </w:tc>
        <w:tc>
          <w:tcPr>
            <w:tcW w:w="1180" w:type="dxa"/>
            <w:vAlign w:val="bottom"/>
            <w:gridSpan w:val="3"/>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vMerge w:val="continue"/>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Reserve balances at December 31, 2024</w:t>
            </w:r>
          </w:p>
        </w:tc>
        <w:tc>
          <w:tcPr>
            <w:tcW w:w="98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center"/>
              <w:ind w:left="733"/>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ind w:left="631"/>
              <w:spacing w:after="0"/>
              <w:rPr>
                <w:sz w:val="20"/>
                <w:szCs w:val="20"/>
                <w:color w:val="auto"/>
              </w:rPr>
            </w:pPr>
            <w:r>
              <w:rPr>
                <w:rFonts w:ascii="Times New Roman" w:cs="Times New Roman" w:eastAsia="Times New Roman" w:hAnsi="Times New Roman"/>
                <w:sz w:val="18"/>
                <w:szCs w:val="18"/>
                <w:color w:val="auto"/>
                <w:w w:val="97"/>
              </w:rPr>
              <w:t>3.4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9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center"/>
              <w:ind w:left="733"/>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center"/>
              <w:ind w:left="631"/>
              <w:spacing w:after="0"/>
              <w:rPr>
                <w:sz w:val="20"/>
                <w:szCs w:val="20"/>
                <w:color w:val="auto"/>
              </w:rPr>
            </w:pPr>
            <w:r>
              <w:rPr>
                <w:rFonts w:ascii="Times New Roman" w:cs="Times New Roman" w:eastAsia="Times New Roman" w:hAnsi="Times New Roman"/>
                <w:sz w:val="18"/>
                <w:szCs w:val="18"/>
                <w:color w:val="auto"/>
                <w:w w:val="97"/>
              </w:rPr>
              <w:t>3.9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98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center"/>
              <w:ind w:left="733"/>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center"/>
              <w:ind w:left="631"/>
              <w:spacing w:after="0"/>
              <w:rPr>
                <w:sz w:val="20"/>
                <w:szCs w:val="20"/>
                <w:color w:val="auto"/>
              </w:rPr>
            </w:pPr>
            <w:r>
              <w:rPr>
                <w:rFonts w:ascii="Times New Roman" w:cs="Times New Roman" w:eastAsia="Times New Roman" w:hAnsi="Times New Roman"/>
                <w:sz w:val="18"/>
                <w:szCs w:val="18"/>
                <w:color w:val="auto"/>
                <w:w w:val="97"/>
              </w:rPr>
              <w:t>0.4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payments / utilization</w:t>
            </w:r>
          </w:p>
        </w:tc>
        <w:tc>
          <w:tcPr>
            <w:tcW w:w="9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(0.6)</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center"/>
              <w:ind w:left="713"/>
              <w:spacing w:after="0"/>
              <w:rPr>
                <w:sz w:val="20"/>
                <w:szCs w:val="20"/>
                <w:color w:val="auto"/>
              </w:rPr>
            </w:pPr>
            <w:r>
              <w:rPr>
                <w:rFonts w:ascii="Times New Roman" w:cs="Times New Roman" w:eastAsia="Times New Roman" w:hAnsi="Times New Roman"/>
                <w:sz w:val="18"/>
                <w:szCs w:val="18"/>
                <w:color w:val="auto"/>
                <w:w w:val="98"/>
              </w:rPr>
              <w:t>(2.8)</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center"/>
              <w:ind w:left="551"/>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7"/>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Reserve balances at December 31, 2025</w:t>
            </w:r>
          </w:p>
        </w:tc>
        <w:tc>
          <w:tcPr>
            <w:tcW w:w="98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center"/>
              <w:ind w:left="733"/>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ind w:left="631"/>
              <w:spacing w:after="0"/>
              <w:rPr>
                <w:sz w:val="20"/>
                <w:szCs w:val="20"/>
                <w:color w:val="auto"/>
              </w:rPr>
            </w:pPr>
            <w:r>
              <w:rPr>
                <w:rFonts w:ascii="Times New Roman" w:cs="Times New Roman" w:eastAsia="Times New Roman" w:hAnsi="Times New Roman"/>
                <w:sz w:val="18"/>
                <w:szCs w:val="18"/>
                <w:color w:val="auto"/>
                <w:w w:val="97"/>
              </w:rPr>
              <w:t>3.3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9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center"/>
              <w:ind w:left="733"/>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center"/>
              <w:ind w:left="631"/>
              <w:spacing w:after="0"/>
              <w:rPr>
                <w:sz w:val="20"/>
                <w:szCs w:val="20"/>
                <w:color w:val="auto"/>
              </w:rPr>
            </w:pPr>
            <w:r>
              <w:rPr>
                <w:rFonts w:ascii="Times New Roman" w:cs="Times New Roman" w:eastAsia="Times New Roman" w:hAnsi="Times New Roman"/>
                <w:sz w:val="18"/>
                <w:szCs w:val="18"/>
                <w:color w:val="auto"/>
                <w:w w:val="97"/>
              </w:rPr>
              <w:t>6.3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98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gridSpan w:val="2"/>
            <w:shd w:val="clear" w:color="auto" w:fill="CCEEFF"/>
          </w:tcPr>
          <w:p>
            <w:pPr>
              <w:jc w:val="center"/>
              <w:ind w:left="713"/>
              <w:spacing w:after="0"/>
              <w:rPr>
                <w:sz w:val="20"/>
                <w:szCs w:val="20"/>
                <w:color w:val="auto"/>
              </w:rPr>
            </w:pPr>
            <w:r>
              <w:rPr>
                <w:rFonts w:ascii="Times New Roman" w:cs="Times New Roman" w:eastAsia="Times New Roman" w:hAnsi="Times New Roman"/>
                <w:sz w:val="18"/>
                <w:szCs w:val="18"/>
                <w:color w:val="auto"/>
                <w:w w:val="98"/>
              </w:rPr>
              <w:t>(2.2)</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gridSpan w:val="2"/>
            <w:shd w:val="clear" w:color="auto" w:fill="CCEEFF"/>
          </w:tcPr>
          <w:p>
            <w:pPr>
              <w:jc w:val="center"/>
              <w:ind w:left="551"/>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Reserve balances at September 30, 2026</w:t>
            </w:r>
          </w:p>
        </w:tc>
        <w:tc>
          <w:tcPr>
            <w:tcW w:w="980" w:type="dxa"/>
            <w:vAlign w:val="bottom"/>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center"/>
              <w:ind w:left="733"/>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ind w:left="631"/>
              <w:spacing w:after="0"/>
              <w:rPr>
                <w:sz w:val="20"/>
                <w:szCs w:val="20"/>
                <w:color w:val="auto"/>
              </w:rPr>
            </w:pPr>
            <w:r>
              <w:rPr>
                <w:rFonts w:ascii="Times New Roman" w:cs="Times New Roman" w:eastAsia="Times New Roman" w:hAnsi="Times New Roman"/>
                <w:sz w:val="18"/>
                <w:szCs w:val="18"/>
                <w:color w:val="auto"/>
                <w:w w:val="97"/>
              </w:rPr>
              <w:t>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5—Inventories</w:t>
            </w:r>
          </w:p>
        </w:tc>
        <w:tc>
          <w:tcPr>
            <w:tcW w:w="9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3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components of inventory:</w:t>
            </w: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60" w:type="dxa"/>
            <w:vAlign w:val="bottom"/>
          </w:tcPr>
          <w:p>
            <w:pPr>
              <w:spacing w:after="0"/>
              <w:rPr>
                <w:sz w:val="24"/>
                <w:szCs w:val="24"/>
                <w:color w:val="auto"/>
              </w:rPr>
            </w:pPr>
          </w:p>
        </w:tc>
        <w:tc>
          <w:tcPr>
            <w:tcW w:w="15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53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9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237,517</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113,948</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9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19,130</w:t>
            </w:r>
          </w:p>
        </w:tc>
        <w:tc>
          <w:tcPr>
            <w:tcW w:w="1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370,595</w:t>
            </w:r>
          </w:p>
        </w:tc>
        <w:tc>
          <w:tcPr>
            <w:tcW w:w="14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6—Property, Plant and Equipment</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components of property, plant and equipment, net: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Pr>
          <w:p>
            <w:pPr>
              <w:spacing w:after="0"/>
              <w:rPr>
                <w:sz w:val="16"/>
                <w:szCs w:val="16"/>
                <w:color w:val="auto"/>
              </w:rPr>
            </w:pPr>
          </w:p>
        </w:tc>
        <w:tc>
          <w:tcPr>
            <w:tcW w:w="16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9,549</w:t>
            </w: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212,018</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212,145</w:t>
            </w:r>
          </w:p>
        </w:tc>
      </w:tr>
      <w:tr>
        <w:trPr>
          <w:trHeight w:val="24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553,910</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565,082</w:t>
            </w:r>
          </w:p>
        </w:tc>
      </w:tr>
      <w:tr>
        <w:trPr>
          <w:trHeight w:val="243"/>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29,892</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24,964</w:t>
            </w:r>
          </w:p>
        </w:tc>
      </w:tr>
      <w:tr>
        <w:trPr>
          <w:trHeight w:val="23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805,249</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811,740</w:t>
            </w:r>
          </w:p>
        </w:tc>
      </w:tr>
      <w:tr>
        <w:trPr>
          <w:trHeight w:val="243"/>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(522,980)</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(528,677)</w:t>
            </w:r>
          </w:p>
        </w:tc>
      </w:tr>
      <w:tr>
        <w:trPr>
          <w:trHeight w:val="237"/>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282,269</w:t>
            </w:r>
          </w:p>
        </w:tc>
        <w:tc>
          <w:tcPr>
            <w:tcW w:w="1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283,063</w:t>
            </w:r>
          </w:p>
        </w:tc>
      </w:tr>
    </w:tbl>
    <w:p>
      <w:pPr>
        <w:spacing w:after="0" w:line="200" w:lineRule="exact"/>
        <w:rPr>
          <w:sz w:val="20"/>
          <w:szCs w:val="20"/>
          <w:color w:val="auto"/>
        </w:rPr>
      </w:pPr>
    </w:p>
    <w:p>
      <w:pPr>
        <w:spacing w:after="0" w:line="291" w:lineRule="exact"/>
        <w:rPr>
          <w:sz w:val="20"/>
          <w:szCs w:val="20"/>
          <w:color w:val="auto"/>
        </w:rPr>
      </w:pPr>
    </w:p>
    <w:p>
      <w:pPr>
        <w:jc w:val="center"/>
        <w:ind w:right="5480"/>
        <w:spacing w:after="0"/>
        <w:rPr>
          <w:sz w:val="20"/>
          <w:szCs w:val="20"/>
          <w:color w:val="auto"/>
        </w:rPr>
      </w:pPr>
      <w:r>
        <w:rPr>
          <w:rFonts w:ascii="Times New Roman" w:cs="Times New Roman" w:eastAsia="Times New Roman" w:hAnsi="Times New Roman"/>
          <w:sz w:val="18"/>
          <w:szCs w:val="18"/>
          <w:b w:val="1"/>
          <w:bCs w:val="1"/>
          <w:color w:val="auto"/>
        </w:rPr>
        <w:t>Note 7—Reclassifications Out of Accumulated Other Comprehensive Loss</w:t>
      </w:r>
    </w:p>
    <w:p>
      <w:pPr>
        <w:spacing w:after="0" w:line="175" w:lineRule="exact"/>
        <w:rPr>
          <w:sz w:val="20"/>
          <w:szCs w:val="20"/>
          <w:color w:val="auto"/>
        </w:rPr>
      </w:pPr>
    </w:p>
    <w:p>
      <w:pPr>
        <w:jc w:val="center"/>
        <w:ind w:right="5500"/>
        <w:spacing w:after="0"/>
        <w:rPr>
          <w:sz w:val="20"/>
          <w:szCs w:val="20"/>
          <w:color w:val="auto"/>
        </w:rPr>
      </w:pPr>
      <w:r>
        <w:rPr>
          <w:rFonts w:ascii="Times New Roman" w:cs="Times New Roman" w:eastAsia="Times New Roman" w:hAnsi="Times New Roman"/>
          <w:sz w:val="18"/>
          <w:szCs w:val="18"/>
          <w:color w:val="auto"/>
        </w:rPr>
        <w:t>Changes in accumulated other comprehensive loss were as follows:</w:t>
      </w: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212"/>
        </w:trPr>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640" w:type="dxa"/>
            <w:vAlign w:val="bottom"/>
            <w:gridSpan w:val="4"/>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192"/>
        </w:trPr>
        <w:tc>
          <w:tcPr>
            <w:tcW w:w="5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Pension and other post-retirement benefits </w:t>
            </w:r>
            <w:r>
              <w:rPr>
                <w:rFonts w:ascii="Times New Roman" w:cs="Times New Roman" w:eastAsia="Times New Roman" w:hAnsi="Times New Roman"/>
                <w:sz w:val="23"/>
                <w:szCs w:val="23"/>
                <w:b w:val="1"/>
                <w:bCs w:val="1"/>
                <w:color w:val="auto"/>
                <w:vertAlign w:val="superscript"/>
              </w:rPr>
              <w:t>(a)</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(10,947)</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21,184</w:t>
            </w:r>
          </w:p>
        </w:tc>
        <w:tc>
          <w:tcPr>
            <w:tcW w:w="1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(11,390)</w:t>
            </w: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loss into</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prior service cost (Note 16)</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Recognized net actuarial losses (Note 16)</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43"/>
        </w:trPr>
        <w:tc>
          <w:tcPr>
            <w:tcW w:w="5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Tax benefit</w:t>
            </w: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169"/>
        </w:trPr>
        <w:tc>
          <w:tcPr>
            <w:tcW w:w="5320" w:type="dxa"/>
            <w:vAlign w:val="bottom"/>
            <w:shd w:val="clear" w:color="auto" w:fill="CCEEFF"/>
          </w:tcPr>
          <w:p>
            <w:pPr>
              <w:ind w:left="120"/>
              <w:spacing w:after="0" w:line="169" w:lineRule="exact"/>
              <w:rPr>
                <w:sz w:val="20"/>
                <w:szCs w:val="20"/>
                <w:color w:val="auto"/>
              </w:rPr>
            </w:pPr>
            <w:r>
              <w:rPr>
                <w:rFonts w:ascii="Times New Roman" w:cs="Times New Roman" w:eastAsia="Times New Roman" w:hAnsi="Times New Roman"/>
                <w:sz w:val="18"/>
                <w:szCs w:val="18"/>
                <w:color w:val="auto"/>
              </w:rPr>
              <w:t>Total amount reclassified from accumulated other comprehensive loss,</w:t>
            </w: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of tax, into net income</w:t>
            </w: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36"/>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22,138</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22,138</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Foreign currency forward cash flow hedges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losses on cash flow hedges (Note 17)</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32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Reclassification from accumulated other comprehensive loss into net</w:t>
            </w:r>
          </w:p>
        </w:tc>
        <w:tc>
          <w:tcPr>
            <w:tcW w:w="12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53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income</w:t>
            </w: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5320" w:type="dxa"/>
            <w:vAlign w:val="bottom"/>
            <w:tcBorders>
              <w:bottom w:val="single" w:sz="8" w:color="CCEEFF"/>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(63,579)</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(62,750)</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(130,259)</w:t>
            </w:r>
          </w:p>
        </w:tc>
        <w:tc>
          <w:tcPr>
            <w:tcW w:w="0" w:type="dxa"/>
            <w:vAlign w:val="bottom"/>
          </w:tcPr>
          <w:p>
            <w:pPr>
              <w:spacing w:after="0"/>
              <w:rPr>
                <w:sz w:val="1"/>
                <w:szCs w:val="1"/>
                <w:color w:val="auto"/>
              </w:rPr>
            </w:pPr>
          </w:p>
        </w:tc>
      </w:tr>
      <w:tr>
        <w:trPr>
          <w:trHeight w:val="243"/>
        </w:trPr>
        <w:tc>
          <w:tcPr>
            <w:tcW w:w="5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(8,642)</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65,049</w:t>
            </w:r>
          </w:p>
        </w:tc>
        <w:tc>
          <w:tcPr>
            <w:tcW w:w="0" w:type="dxa"/>
            <w:vAlign w:val="bottom"/>
          </w:tcPr>
          <w:p>
            <w:pPr>
              <w:spacing w:after="0"/>
              <w:rPr>
                <w:sz w:val="1"/>
                <w:szCs w:val="1"/>
                <w:color w:val="auto"/>
              </w:rPr>
            </w:pPr>
          </w:p>
        </w:tc>
      </w:tr>
      <w:tr>
        <w:trPr>
          <w:trHeight w:val="23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(71,392)</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(65,210)</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(71,392)</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(65,210)</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20" w:right="140" w:firstLine="7"/>
        <w:spacing w:after="0" w:line="237" w:lineRule="auto"/>
        <w:tabs>
          <w:tab w:leader="none" w:pos="279"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Amounts reclassified from accumulated other comprehensive loss (“AOCL”) into net income are included in the computation of net periodic pension and other post-retirement benefit costs (refer to Note 16—Pensions and Other Post-retirement Benefits).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8—Capital Stock</w:t>
      </w:r>
    </w:p>
    <w:p>
      <w:pPr>
        <w:spacing w:after="0" w:line="171" w:lineRule="exact"/>
        <w:rPr>
          <w:sz w:val="20"/>
          <w:szCs w:val="20"/>
          <w:color w:val="auto"/>
        </w:rPr>
      </w:pPr>
    </w:p>
    <w:p>
      <w:pPr>
        <w:ind w:right="80" w:firstLine="40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Preferred Stock </w:t>
      </w:r>
      <w:r>
        <w:rPr>
          <w:rFonts w:ascii="Times New Roman" w:cs="Times New Roman" w:eastAsia="Times New Roman" w:hAnsi="Times New Roman"/>
          <w:sz w:val="18"/>
          <w:szCs w:val="18"/>
          <w:color w:val="auto"/>
        </w:rPr>
        <w:t>- The Company has authorized 100,000 shares of $50 par value 4.5% cumulative preferred nonvoting stock, which is callable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$52.50. There were 71,340 shares issued and 52,998 shares held in treasury at both September 30, 2026, and December 31, 2025. The Treasury shares at cost line in the unaudited Condensed Consolidated Balance Sheets includes $1.8 million related to preferred stock. There were no shares of preferred stock purchased and subsequently held in treasury during the nine months ended September 30, 2026, or 2025. The Company has also authorized 1,000,000 shares of $10 par value second cumulative preferred voting stock. No shares have been issued as of September 30, 2026, or December 31, 2025.</w:t>
      </w:r>
    </w:p>
    <w:p>
      <w:pPr>
        <w:spacing w:after="0" w:line="125" w:lineRule="exact"/>
        <w:rPr>
          <w:sz w:val="20"/>
          <w:szCs w:val="20"/>
          <w:color w:val="auto"/>
        </w:rPr>
      </w:pPr>
    </w:p>
    <w:p>
      <w:pPr>
        <w:ind w:right="580"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Common Stock </w:t>
      </w:r>
      <w:r>
        <w:rPr>
          <w:rFonts w:ascii="Times New Roman" w:cs="Times New Roman" w:eastAsia="Times New Roman" w:hAnsi="Times New Roman"/>
          <w:sz w:val="18"/>
          <w:szCs w:val="18"/>
          <w:color w:val="auto"/>
        </w:rPr>
        <w:t>- The Company has authorized 180,000,000 shares of no par value common stock. There were 62,081,391 shares issued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2026, and December 31, 2025. No new shares were issued during the nine months ended September 30, 2026, or 2025. There were 38,539,388 and 38,912,629 shares outstanding at September 30, 2026, and December 31, 2025, respectively.</w:t>
      </w:r>
    </w:p>
    <w:p>
      <w:pPr>
        <w:spacing w:after="0" w:line="117" w:lineRule="exact"/>
        <w:rPr>
          <w:sz w:val="20"/>
          <w:szCs w:val="20"/>
          <w:color w:val="auto"/>
        </w:rPr>
      </w:pPr>
    </w:p>
    <w:p>
      <w:pPr>
        <w:ind w:right="300" w:firstLine="40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Treasury Shares </w:t>
      </w:r>
      <w:r>
        <w:rPr>
          <w:rFonts w:ascii="Times New Roman" w:cs="Times New Roman" w:eastAsia="Times New Roman" w:hAnsi="Times New Roman"/>
          <w:sz w:val="18"/>
          <w:szCs w:val="18"/>
          <w:color w:val="auto"/>
        </w:rPr>
        <w:t>- The Company's 2026 stock repurchase program authorizes up to $500.0 million to repurchase MSA common stock in the open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and in private transactions. The stock repurchase program has no expiration date. The maximum number of shares that may be repurchased is calculated based on the dollars remaining under the program and the respective month-end closing share price. During the nine months ended September 30, 2026, and 2025, the Company repurchased 496,819 and 248,768 shares, respectively, under this and the prior stock repurchase program. There were 23,542,003 and 23,168,762 treasury shares at September 30, 2026, and December 31, 2025, respectively.</w:t>
      </w:r>
    </w:p>
    <w:p>
      <w:pPr>
        <w:spacing w:after="0" w:line="129"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Company issues treasury shares for all stock-based benefit plans. Shares are issued from treasury at the average treasury share cost on the date of the transaction. There were 181,530 and 202,502 Treasury shares issued for these purposes during the nine months ended September 30, 2026, and 2025, respectively.</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Common stock activity is summarized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260" w:type="dxa"/>
            <w:vAlign w:val="bottom"/>
          </w:tcPr>
          <w:p>
            <w:pPr>
              <w:spacing w:after="0"/>
              <w:rPr>
                <w:sz w:val="16"/>
                <w:szCs w:val="16"/>
                <w:color w:val="auto"/>
              </w:rPr>
            </w:pPr>
          </w:p>
        </w:tc>
        <w:tc>
          <w:tcPr>
            <w:tcW w:w="3160" w:type="dxa"/>
            <w:vAlign w:val="bottom"/>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66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2"/>
                <w:szCs w:val="12"/>
                <w:color w:val="auto"/>
              </w:rPr>
            </w:pPr>
          </w:p>
        </w:tc>
        <w:tc>
          <w:tcPr>
            <w:tcW w:w="1460" w:type="dxa"/>
            <w:vAlign w:val="bottom"/>
            <w:gridSpan w:val="2"/>
          </w:tcPr>
          <w:p>
            <w:pPr>
              <w:jc w:val="center"/>
              <w:ind w:right="4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260" w:type="dxa"/>
            <w:vAlign w:val="bottom"/>
          </w:tcPr>
          <w:p>
            <w:pPr>
              <w:spacing w:after="0"/>
              <w:rPr>
                <w:sz w:val="12"/>
                <w:szCs w:val="12"/>
                <w:color w:val="auto"/>
              </w:rPr>
            </w:pPr>
          </w:p>
        </w:tc>
        <w:tc>
          <w:tcPr>
            <w:tcW w:w="1520" w:type="dxa"/>
            <w:vAlign w:val="bottom"/>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Common</w:t>
            </w:r>
          </w:p>
        </w:tc>
        <w:tc>
          <w:tcPr>
            <w:tcW w:w="320" w:type="dxa"/>
            <w:vAlign w:val="bottom"/>
          </w:tcPr>
          <w:p>
            <w:pPr>
              <w:spacing w:after="0"/>
              <w:rPr>
                <w:sz w:val="12"/>
                <w:szCs w:val="12"/>
                <w:color w:val="auto"/>
              </w:rPr>
            </w:pPr>
          </w:p>
        </w:tc>
        <w:tc>
          <w:tcPr>
            <w:tcW w:w="1320" w:type="dxa"/>
            <w:vAlign w:val="bottom"/>
          </w:tcPr>
          <w:p>
            <w:pPr>
              <w:jc w:val="center"/>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0" w:type="dxa"/>
            <w:vAlign w:val="bottom"/>
          </w:tcPr>
          <w:p>
            <w:pPr>
              <w:spacing w:after="0"/>
              <w:rPr>
                <w:sz w:val="1"/>
                <w:szCs w:val="1"/>
                <w:color w:val="auto"/>
              </w:rPr>
            </w:pPr>
          </w:p>
        </w:tc>
      </w:tr>
      <w:tr>
        <w:trPr>
          <w:trHeight w:val="203"/>
        </w:trPr>
        <w:tc>
          <w:tcPr>
            <w:tcW w:w="42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1460" w:type="dxa"/>
            <w:vAlign w:val="bottom"/>
            <w:gridSpan w:val="2"/>
          </w:tcPr>
          <w:p>
            <w:pPr>
              <w:jc w:val="center"/>
              <w:ind w:right="480"/>
              <w:spacing w:after="0" w:line="202" w:lineRule="exact"/>
              <w:rPr>
                <w:sz w:val="20"/>
                <w:szCs w:val="20"/>
                <w:color w:val="auto"/>
              </w:rPr>
            </w:pPr>
            <w:r>
              <w:rPr>
                <w:rFonts w:ascii="Times New Roman" w:cs="Times New Roman" w:eastAsia="Times New Roman" w:hAnsi="Times New Roman"/>
                <w:sz w:val="14"/>
                <w:szCs w:val="14"/>
                <w:b w:val="1"/>
                <w:bCs w:val="1"/>
                <w:color w:val="auto"/>
                <w:w w:val="92"/>
              </w:rPr>
              <w:t>Cost</w:t>
            </w:r>
            <w:r>
              <w:rPr>
                <w:rFonts w:ascii="Times New Roman" w:cs="Times New Roman" w:eastAsia="Times New Roman" w:hAnsi="Times New Roman"/>
                <w:sz w:val="18"/>
                <w:szCs w:val="18"/>
                <w:b w:val="1"/>
                <w:bCs w:val="1"/>
                <w:color w:val="auto"/>
                <w:w w:val="92"/>
                <w:vertAlign w:val="superscript"/>
              </w:rPr>
              <w:t>(a)</w:t>
            </w:r>
          </w:p>
        </w:tc>
        <w:tc>
          <w:tcPr>
            <w:tcW w:w="260" w:type="dxa"/>
            <w:vAlign w:val="bottom"/>
          </w:tcPr>
          <w:p>
            <w:pPr>
              <w:spacing w:after="0"/>
              <w:rPr>
                <w:sz w:val="17"/>
                <w:szCs w:val="17"/>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17"/>
                <w:szCs w:val="17"/>
                <w:color w:val="auto"/>
              </w:rPr>
            </w:pPr>
          </w:p>
        </w:tc>
        <w:tc>
          <w:tcPr>
            <w:tcW w:w="1320" w:type="dxa"/>
            <w:vAlign w:val="bottom"/>
          </w:tcPr>
          <w:p>
            <w:pPr>
              <w:jc w:val="center"/>
              <w:ind w:right="234"/>
              <w:spacing w:after="0" w:line="202" w:lineRule="exact"/>
              <w:rPr>
                <w:sz w:val="20"/>
                <w:szCs w:val="20"/>
                <w:color w:val="auto"/>
              </w:rPr>
            </w:pPr>
            <w:r>
              <w:rPr>
                <w:rFonts w:ascii="Times New Roman" w:cs="Times New Roman" w:eastAsia="Times New Roman" w:hAnsi="Times New Roman"/>
                <w:sz w:val="14"/>
                <w:szCs w:val="14"/>
                <w:b w:val="1"/>
                <w:bCs w:val="1"/>
                <w:color w:val="auto"/>
                <w:w w:val="96"/>
              </w:rPr>
              <w:t>Cost</w:t>
            </w:r>
            <w:r>
              <w:rPr>
                <w:rFonts w:ascii="Times New Roman" w:cs="Times New Roman" w:eastAsia="Times New Roman" w:hAnsi="Times New Roman"/>
                <w:sz w:val="18"/>
                <w:szCs w:val="18"/>
                <w:b w:val="1"/>
                <w:bCs w:val="1"/>
                <w:color w:val="auto"/>
                <w:w w:val="96"/>
                <w:vertAlign w:val="superscript"/>
              </w:rPr>
              <w:t>(a)</w:t>
            </w:r>
          </w:p>
        </w:tc>
        <w:tc>
          <w:tcPr>
            <w:tcW w:w="0" w:type="dxa"/>
            <w:vAlign w:val="bottom"/>
          </w:tcPr>
          <w:p>
            <w:pPr>
              <w:spacing w:after="0"/>
              <w:rPr>
                <w:sz w:val="1"/>
                <w:szCs w:val="1"/>
                <w:color w:val="auto"/>
              </w:rPr>
            </w:pPr>
          </w:p>
        </w:tc>
      </w:tr>
      <w:tr>
        <w:trPr>
          <w:trHeight w:val="216"/>
        </w:trPr>
        <w:tc>
          <w:tcPr>
            <w:tcW w:w="2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shd w:val="clear" w:color="auto" w:fill="CCEEFF"/>
              </w:rPr>
              <w:t>Balance at beginning of period</w:t>
            </w:r>
          </w:p>
        </w:tc>
        <w:tc>
          <w:tcPr>
            <w:tcW w:w="20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352,597</w:t>
            </w:r>
          </w:p>
        </w:tc>
        <w:tc>
          <w:tcPr>
            <w:tcW w:w="4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(565,708)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336,175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(442,123)</w:t>
            </w:r>
          </w:p>
        </w:tc>
        <w:tc>
          <w:tcPr>
            <w:tcW w:w="0" w:type="dxa"/>
            <w:vAlign w:val="bottom"/>
          </w:tcPr>
          <w:p>
            <w:pPr>
              <w:spacing w:after="0"/>
              <w:rPr>
                <w:sz w:val="1"/>
                <w:szCs w:val="1"/>
                <w:color w:val="auto"/>
              </w:rPr>
            </w:pPr>
          </w:p>
        </w:tc>
      </w:tr>
      <w:tr>
        <w:trPr>
          <w:trHeight w:val="24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and performance stock awards</w:t>
            </w:r>
          </w:p>
        </w:tc>
        <w:tc>
          <w:tcPr>
            <w:tcW w:w="1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4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00" w:type="dxa"/>
            <w:vAlign w:val="bottom"/>
          </w:tcPr>
          <w:p>
            <w:pPr>
              <w:spacing w:after="0"/>
              <w:rPr>
                <w:sz w:val="21"/>
                <w:szCs w:val="21"/>
                <w:color w:val="auto"/>
              </w:rPr>
            </w:pPr>
          </w:p>
        </w:tc>
        <w:tc>
          <w:tcPr>
            <w:tcW w:w="1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89"/>
        </w:trPr>
        <w:tc>
          <w:tcPr>
            <w:tcW w:w="42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Treasury shares purchased for stock compensation</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10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4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 repurchase program</w:t>
            </w:r>
          </w:p>
        </w:tc>
        <w:tc>
          <w:tcPr>
            <w:tcW w:w="100" w:type="dxa"/>
            <w:vAlign w:val="bottom"/>
          </w:tcPr>
          <w:p>
            <w:pPr>
              <w:spacing w:after="0"/>
              <w:rPr>
                <w:sz w:val="21"/>
                <w:szCs w:val="21"/>
                <w:color w:val="auto"/>
              </w:rPr>
            </w:pPr>
          </w:p>
        </w:tc>
        <w:tc>
          <w:tcPr>
            <w:tcW w:w="1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(12,683)</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360,106</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(578,486)</w:t>
            </w:r>
          </w:p>
        </w:tc>
        <w:tc>
          <w:tcPr>
            <w:tcW w:w="1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339,256</w:t>
            </w:r>
          </w:p>
        </w:tc>
        <w:tc>
          <w:tcPr>
            <w:tcW w:w="1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(442,989)</w:t>
            </w:r>
          </w:p>
        </w:tc>
        <w:tc>
          <w:tcPr>
            <w:tcW w:w="0" w:type="dxa"/>
            <w:vAlign w:val="bottom"/>
          </w:tcPr>
          <w:p>
            <w:pPr>
              <w:spacing w:after="0"/>
              <w:rPr>
                <w:sz w:val="1"/>
                <w:szCs w:val="1"/>
                <w:color w:val="auto"/>
              </w:rPr>
            </w:pPr>
          </w:p>
        </w:tc>
      </w:tr>
      <w:tr>
        <w:trPr>
          <w:trHeight w:val="292"/>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8"/>
                <w:szCs w:val="18"/>
                <w:color w:val="auto"/>
              </w:rPr>
              <w:t>Excludes treasury cost related to preferred stock.</w:t>
            </w:r>
          </w:p>
        </w:tc>
        <w:tc>
          <w:tcPr>
            <w:tcW w:w="100" w:type="dxa"/>
            <w:vAlign w:val="bottom"/>
          </w:tcPr>
          <w:p>
            <w:pPr>
              <w:spacing w:after="0"/>
              <w:rPr>
                <w:sz w:val="24"/>
                <w:szCs w:val="24"/>
                <w:color w:val="auto"/>
              </w:rPr>
            </w:pPr>
          </w:p>
        </w:tc>
        <w:tc>
          <w:tcPr>
            <w:tcW w:w="3460" w:type="dxa"/>
            <w:vAlign w:val="bottom"/>
            <w:gridSpan w:val="6"/>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260" w:type="dxa"/>
            <w:vAlign w:val="bottom"/>
          </w:tcPr>
          <w:p>
            <w:pPr>
              <w:spacing w:after="0"/>
              <w:rPr>
                <w:sz w:val="24"/>
                <w:szCs w:val="24"/>
                <w:color w:val="auto"/>
              </w:rPr>
            </w:pPr>
          </w:p>
        </w:tc>
        <w:tc>
          <w:tcPr>
            <w:tcW w:w="3160" w:type="dxa"/>
            <w:vAlign w:val="bottom"/>
            <w:gridSpan w:val="4"/>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0" w:type="dxa"/>
            <w:vAlign w:val="bottom"/>
          </w:tcPr>
          <w:p>
            <w:pPr>
              <w:spacing w:after="0"/>
              <w:rPr>
                <w:sz w:val="1"/>
                <w:szCs w:val="1"/>
                <w:color w:val="auto"/>
              </w:rPr>
            </w:pPr>
          </w:p>
        </w:tc>
      </w:tr>
      <w:tr>
        <w:trPr>
          <w:trHeight w:val="340"/>
        </w:trPr>
        <w:tc>
          <w:tcPr>
            <w:tcW w:w="2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gridSpan w:val="6"/>
            <w:vMerge w:val="continue"/>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66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2"/>
                <w:szCs w:val="12"/>
                <w:color w:val="auto"/>
              </w:rPr>
            </w:pPr>
          </w:p>
        </w:tc>
        <w:tc>
          <w:tcPr>
            <w:tcW w:w="1460" w:type="dxa"/>
            <w:vAlign w:val="bottom"/>
            <w:gridSpan w:val="2"/>
          </w:tcPr>
          <w:p>
            <w:pPr>
              <w:jc w:val="center"/>
              <w:ind w:right="4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260" w:type="dxa"/>
            <w:vAlign w:val="bottom"/>
          </w:tcPr>
          <w:p>
            <w:pPr>
              <w:spacing w:after="0"/>
              <w:rPr>
                <w:sz w:val="12"/>
                <w:szCs w:val="12"/>
                <w:color w:val="auto"/>
              </w:rPr>
            </w:pPr>
          </w:p>
        </w:tc>
        <w:tc>
          <w:tcPr>
            <w:tcW w:w="1520" w:type="dxa"/>
            <w:vAlign w:val="bottom"/>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Common</w:t>
            </w:r>
          </w:p>
        </w:tc>
        <w:tc>
          <w:tcPr>
            <w:tcW w:w="320" w:type="dxa"/>
            <w:vAlign w:val="bottom"/>
          </w:tcPr>
          <w:p>
            <w:pPr>
              <w:spacing w:after="0"/>
              <w:rPr>
                <w:sz w:val="12"/>
                <w:szCs w:val="12"/>
                <w:color w:val="auto"/>
              </w:rPr>
            </w:pPr>
          </w:p>
        </w:tc>
        <w:tc>
          <w:tcPr>
            <w:tcW w:w="1320" w:type="dxa"/>
            <w:vAlign w:val="bottom"/>
          </w:tcPr>
          <w:p>
            <w:pPr>
              <w:jc w:val="center"/>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0" w:type="dxa"/>
            <w:vAlign w:val="bottom"/>
          </w:tcPr>
          <w:p>
            <w:pPr>
              <w:spacing w:after="0"/>
              <w:rPr>
                <w:sz w:val="1"/>
                <w:szCs w:val="1"/>
                <w:color w:val="auto"/>
              </w:rPr>
            </w:pPr>
          </w:p>
        </w:tc>
      </w:tr>
      <w:tr>
        <w:trPr>
          <w:trHeight w:val="203"/>
        </w:trPr>
        <w:tc>
          <w:tcPr>
            <w:tcW w:w="42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1460" w:type="dxa"/>
            <w:vAlign w:val="bottom"/>
            <w:gridSpan w:val="2"/>
          </w:tcPr>
          <w:p>
            <w:pPr>
              <w:jc w:val="center"/>
              <w:ind w:right="480"/>
              <w:spacing w:after="0" w:line="202" w:lineRule="exact"/>
              <w:rPr>
                <w:sz w:val="20"/>
                <w:szCs w:val="20"/>
                <w:color w:val="auto"/>
              </w:rPr>
            </w:pPr>
            <w:r>
              <w:rPr>
                <w:rFonts w:ascii="Times New Roman" w:cs="Times New Roman" w:eastAsia="Times New Roman" w:hAnsi="Times New Roman"/>
                <w:sz w:val="14"/>
                <w:szCs w:val="14"/>
                <w:b w:val="1"/>
                <w:bCs w:val="1"/>
                <w:color w:val="auto"/>
                <w:w w:val="92"/>
              </w:rPr>
              <w:t>Cost</w:t>
            </w:r>
            <w:r>
              <w:rPr>
                <w:rFonts w:ascii="Times New Roman" w:cs="Times New Roman" w:eastAsia="Times New Roman" w:hAnsi="Times New Roman"/>
                <w:sz w:val="18"/>
                <w:szCs w:val="18"/>
                <w:b w:val="1"/>
                <w:bCs w:val="1"/>
                <w:color w:val="auto"/>
                <w:w w:val="92"/>
                <w:vertAlign w:val="superscript"/>
              </w:rPr>
              <w:t>(a)</w:t>
            </w:r>
          </w:p>
        </w:tc>
        <w:tc>
          <w:tcPr>
            <w:tcW w:w="260" w:type="dxa"/>
            <w:vAlign w:val="bottom"/>
          </w:tcPr>
          <w:p>
            <w:pPr>
              <w:spacing w:after="0"/>
              <w:rPr>
                <w:sz w:val="17"/>
                <w:szCs w:val="17"/>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17"/>
                <w:szCs w:val="17"/>
                <w:color w:val="auto"/>
              </w:rPr>
            </w:pPr>
          </w:p>
        </w:tc>
        <w:tc>
          <w:tcPr>
            <w:tcW w:w="1320" w:type="dxa"/>
            <w:vAlign w:val="bottom"/>
          </w:tcPr>
          <w:p>
            <w:pPr>
              <w:jc w:val="center"/>
              <w:ind w:right="234"/>
              <w:spacing w:after="0" w:line="202" w:lineRule="exact"/>
              <w:rPr>
                <w:sz w:val="20"/>
                <w:szCs w:val="20"/>
                <w:color w:val="auto"/>
              </w:rPr>
            </w:pPr>
            <w:r>
              <w:rPr>
                <w:rFonts w:ascii="Times New Roman" w:cs="Times New Roman" w:eastAsia="Times New Roman" w:hAnsi="Times New Roman"/>
                <w:sz w:val="14"/>
                <w:szCs w:val="14"/>
                <w:b w:val="1"/>
                <w:bCs w:val="1"/>
                <w:color w:val="auto"/>
                <w:w w:val="96"/>
              </w:rPr>
              <w:t>Cost</w:t>
            </w:r>
            <w:r>
              <w:rPr>
                <w:rFonts w:ascii="Times New Roman" w:cs="Times New Roman" w:eastAsia="Times New Roman" w:hAnsi="Times New Roman"/>
                <w:sz w:val="18"/>
                <w:szCs w:val="18"/>
                <w:b w:val="1"/>
                <w:bCs w:val="1"/>
                <w:color w:val="auto"/>
                <w:w w:val="96"/>
                <w:vertAlign w:val="superscript"/>
              </w:rPr>
              <w:t>(a)</w:t>
            </w:r>
          </w:p>
        </w:tc>
        <w:tc>
          <w:tcPr>
            <w:tcW w:w="0" w:type="dxa"/>
            <w:vAlign w:val="bottom"/>
          </w:tcPr>
          <w:p>
            <w:pPr>
              <w:spacing w:after="0"/>
              <w:rPr>
                <w:sz w:val="1"/>
                <w:szCs w:val="1"/>
                <w:color w:val="auto"/>
              </w:rPr>
            </w:pPr>
          </w:p>
        </w:tc>
      </w:tr>
      <w:tr>
        <w:trPr>
          <w:trHeight w:val="237"/>
        </w:trPr>
        <w:tc>
          <w:tcPr>
            <w:tcW w:w="4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343,842</w:t>
            </w:r>
          </w:p>
        </w:tc>
        <w:tc>
          <w:tcPr>
            <w:tcW w:w="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(483,248)</w:t>
            </w:r>
          </w:p>
        </w:tc>
        <w:tc>
          <w:tcPr>
            <w:tcW w:w="1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329,953</w:t>
            </w:r>
          </w:p>
        </w:tc>
        <w:tc>
          <w:tcPr>
            <w:tcW w:w="1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(396,604)</w:t>
            </w:r>
          </w:p>
        </w:tc>
        <w:tc>
          <w:tcPr>
            <w:tcW w:w="0" w:type="dxa"/>
            <w:vAlign w:val="bottom"/>
          </w:tcPr>
          <w:p>
            <w:pPr>
              <w:spacing w:after="0"/>
              <w:rPr>
                <w:sz w:val="1"/>
                <w:szCs w:val="1"/>
                <w:color w:val="auto"/>
              </w:rPr>
            </w:pPr>
          </w:p>
        </w:tc>
      </w:tr>
      <w:tr>
        <w:trPr>
          <w:trHeight w:val="24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and performance stock awards</w:t>
            </w:r>
          </w:p>
        </w:tc>
        <w:tc>
          <w:tcPr>
            <w:tcW w:w="1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(3,903)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0" w:type="dxa"/>
            <w:vAlign w:val="bottom"/>
          </w:tcPr>
          <w:p>
            <w:pPr>
              <w:spacing w:after="0"/>
              <w:rPr>
                <w:sz w:val="1"/>
                <w:szCs w:val="1"/>
                <w:color w:val="auto"/>
              </w:rPr>
            </w:pPr>
          </w:p>
        </w:tc>
      </w:tr>
      <w:tr>
        <w:trPr>
          <w:trHeight w:val="24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189"/>
        </w:trPr>
        <w:tc>
          <w:tcPr>
            <w:tcW w:w="42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Treasury shares purchased for stock compensation</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10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(10,530)</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w:t>
            </w:r>
          </w:p>
        </w:tc>
        <w:tc>
          <w:tcPr>
            <w:tcW w:w="0" w:type="dxa"/>
            <w:vAlign w:val="bottom"/>
          </w:tcPr>
          <w:p>
            <w:pPr>
              <w:spacing w:after="0"/>
              <w:rPr>
                <w:sz w:val="1"/>
                <w:szCs w:val="1"/>
                <w:color w:val="auto"/>
              </w:rPr>
            </w:pPr>
          </w:p>
        </w:tc>
      </w:tr>
      <w:tr>
        <w:trPr>
          <w:trHeight w:val="24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stock purchase program</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43"/>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repurchase program</w:t>
            </w:r>
          </w:p>
        </w:tc>
        <w:tc>
          <w:tcPr>
            <w:tcW w:w="10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(88,809)</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(39,995)</w:t>
            </w:r>
          </w:p>
        </w:tc>
        <w:tc>
          <w:tcPr>
            <w:tcW w:w="0" w:type="dxa"/>
            <w:vAlign w:val="bottom"/>
          </w:tcPr>
          <w:p>
            <w:pPr>
              <w:spacing w:after="0"/>
              <w:rPr>
                <w:sz w:val="1"/>
                <w:szCs w:val="1"/>
                <w:color w:val="auto"/>
              </w:rPr>
            </w:pPr>
          </w:p>
        </w:tc>
      </w:tr>
      <w:tr>
        <w:trPr>
          <w:trHeight w:val="237"/>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360,106</w:t>
            </w:r>
          </w:p>
        </w:tc>
        <w:tc>
          <w:tcPr>
            <w:tcW w:w="4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(578,486)</w:t>
            </w:r>
          </w:p>
        </w:tc>
        <w:tc>
          <w:tcPr>
            <w:tcW w:w="14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339,256</w:t>
            </w:r>
          </w:p>
        </w:tc>
        <w:tc>
          <w:tcPr>
            <w:tcW w:w="14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(442,989)</w:t>
            </w:r>
          </w:p>
        </w:tc>
        <w:tc>
          <w:tcPr>
            <w:tcW w:w="0" w:type="dxa"/>
            <w:vAlign w:val="bottom"/>
          </w:tcPr>
          <w:p>
            <w:pPr>
              <w:spacing w:after="0"/>
              <w:rPr>
                <w:sz w:val="1"/>
                <w:szCs w:val="1"/>
                <w:color w:val="auto"/>
              </w:rPr>
            </w:pPr>
          </w:p>
        </w:tc>
      </w:tr>
      <w:tr>
        <w:trPr>
          <w:trHeight w:val="292"/>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8"/>
                <w:szCs w:val="18"/>
                <w:color w:val="auto"/>
              </w:rPr>
              <w:t>Excludes treasury cost related to preferred stock.</w:t>
            </w:r>
          </w:p>
        </w:tc>
        <w:tc>
          <w:tcPr>
            <w:tcW w:w="100" w:type="dxa"/>
            <w:vAlign w:val="bottom"/>
          </w:tcPr>
          <w:p>
            <w:pPr>
              <w:spacing w:after="0"/>
              <w:rPr>
                <w:sz w:val="24"/>
                <w:szCs w:val="24"/>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5"/>
        </w:trPr>
        <w:tc>
          <w:tcPr>
            <w:tcW w:w="2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9—Segment Information</w:t>
      </w:r>
    </w:p>
    <w:p>
      <w:pPr>
        <w:spacing w:after="0" w:line="175"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The Company is organized into four geographical operating segments that are based on management responsibilities: Northern North America; Latin America; Europe, Middle East &amp; Africa; and Asia Pacific. The operating segments have been aggregated (based on economic similarities, the nature of their products and solutions, end-user markets, and methods of distribution) into two reportable segments: Americas and International.</w:t>
      </w:r>
    </w:p>
    <w:p>
      <w:pPr>
        <w:spacing w:after="0" w:line="12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Americas segment is comprised of our operations in Northern North America and Latin America geographies. The International segment is comprised of our operations in all geographies outside of the Americas. Certain global expenses are allocated to each segment in a manner consistent with where the benefits from the expenses are derived. The Company's sales are allocated to each segment based primarily on the destination country of the end-customer.</w:t>
      </w:r>
    </w:p>
    <w:p>
      <w:pPr>
        <w:spacing w:after="0" w:line="126"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Adjusted operating income is the measure used by the chief operating decision maker, identified as our President and Chief Executive Officer, to evaluate reportable segment performance and identify opportunities when allocating resources. Adjusted operating income is defined as operating income excluding restructuring charges, currency exchange, transaction and digital transformation costs, and acquisition-related amortization.</w:t>
      </w:r>
    </w:p>
    <w:p>
      <w:pPr>
        <w:spacing w:after="0" w:line="122"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accounting principles applied at the operating segment level in determining the segment measure of profit or loss are the same as those applied at the unaudited condensed consolidated financial statement level. Sales and transfers between operating segments are accounted for at market-based transaction prices and are eliminated in consolidation.</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Reportable segment information is presented in the following table: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00" w:type="dxa"/>
            <w:vAlign w:val="bottom"/>
          </w:tcPr>
          <w:p>
            <w:pPr>
              <w:spacing w:after="0"/>
              <w:rPr>
                <w:sz w:val="13"/>
                <w:szCs w:val="13"/>
                <w:color w:val="auto"/>
              </w:rPr>
            </w:pPr>
          </w:p>
        </w:tc>
        <w:tc>
          <w:tcPr>
            <w:tcW w:w="118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Corporate/Reconciling</w:t>
            </w:r>
          </w:p>
        </w:tc>
        <w:tc>
          <w:tcPr>
            <w:tcW w:w="280" w:type="dxa"/>
            <w:vAlign w:val="bottom"/>
          </w:tcPr>
          <w:p>
            <w:pPr>
              <w:spacing w:after="0"/>
              <w:rPr>
                <w:sz w:val="13"/>
                <w:szCs w:val="13"/>
                <w:color w:val="auto"/>
              </w:rPr>
            </w:pPr>
          </w:p>
        </w:tc>
        <w:tc>
          <w:tcPr>
            <w:tcW w:w="11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3"/>
        </w:trPr>
        <w:tc>
          <w:tcPr>
            <w:tcW w:w="51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1"/>
              <w:spacing w:after="0" w:line="202" w:lineRule="exact"/>
              <w:rPr>
                <w:sz w:val="20"/>
                <w:szCs w:val="20"/>
                <w:color w:val="auto"/>
              </w:rPr>
            </w:pPr>
            <w:r>
              <w:rPr>
                <w:rFonts w:ascii="Times New Roman" w:cs="Times New Roman" w:eastAsia="Times New Roman" w:hAnsi="Times New Roman"/>
                <w:sz w:val="14"/>
                <w:szCs w:val="14"/>
                <w:b w:val="1"/>
                <w:bCs w:val="1"/>
                <w:color w:val="auto"/>
              </w:rPr>
              <w:t>Items</w:t>
            </w:r>
            <w:r>
              <w:rPr>
                <w:rFonts w:ascii="Times New Roman" w:cs="Times New Roman" w:eastAsia="Times New Roman" w:hAnsi="Times New Roman"/>
                <w:sz w:val="18"/>
                <w:szCs w:val="18"/>
                <w:b w:val="1"/>
                <w:bCs w:val="1"/>
                <w:color w:val="auto"/>
                <w:vertAlign w:val="superscript"/>
              </w:rPr>
              <w:t>(a)</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36"/>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338,246</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198,184</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536,430</w:t>
            </w: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products sold</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113,855</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44,694</w:t>
            </w: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13,564</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7,801</w:t>
            </w:r>
          </w:p>
        </w:tc>
        <w:tc>
          <w:tcPr>
            <w:tcW w:w="44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96,660</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31,834</w:t>
            </w: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items: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w:t>
            </w: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219</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23,009</w:t>
            </w:r>
          </w:p>
        </w:tc>
        <w:tc>
          <w:tcPr>
            <w:tcW w:w="0" w:type="dxa"/>
            <w:vAlign w:val="bottom"/>
          </w:tcPr>
          <w:p>
            <w:pPr>
              <w:spacing w:after="0"/>
              <w:rPr>
                <w:sz w:val="1"/>
                <w:szCs w:val="1"/>
                <w:color w:val="auto"/>
              </w:rPr>
            </w:pPr>
          </w:p>
        </w:tc>
      </w:tr>
      <w:tr>
        <w:trPr>
          <w:trHeight w:val="243"/>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(income) expense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440" w:type="dxa"/>
            <w:vAlign w:val="bottom"/>
          </w:tcPr>
          <w:p>
            <w:pPr>
              <w:spacing w:after="0"/>
              <w:rPr>
                <w:sz w:val="21"/>
                <w:szCs w:val="21"/>
                <w:color w:val="auto"/>
              </w:rPr>
            </w:pP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1,725,536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1,595,986</w:t>
            </w: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 xml:space="preserve">(43,210) </w:t>
            </w:r>
            <w:r>
              <w:rPr>
                <w:rFonts w:ascii="Times New Roman" w:cs="Times New Roman" w:eastAsia="Times New Roman" w:hAnsi="Times New Roman"/>
                <w:sz w:val="21"/>
                <w:szCs w:val="21"/>
                <w:color w:val="auto"/>
                <w:vertAlign w:val="superscript"/>
              </w:rPr>
              <w:t>(b)</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3,278,312</w:t>
            </w:r>
          </w:p>
        </w:tc>
        <w:tc>
          <w:tcPr>
            <w:tcW w:w="0" w:type="dxa"/>
            <w:vAlign w:val="bottom"/>
          </w:tcPr>
          <w:p>
            <w:pPr>
              <w:spacing w:after="0"/>
              <w:rPr>
                <w:sz w:val="1"/>
                <w:szCs w:val="1"/>
                <w:color w:val="auto"/>
              </w:rPr>
            </w:pPr>
          </w:p>
        </w:tc>
      </w:tr>
      <w:tr>
        <w:trPr>
          <w:trHeight w:val="243"/>
        </w:trPr>
        <w:tc>
          <w:tcPr>
            <w:tcW w:w="5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1,469</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14,128</w:t>
            </w:r>
          </w:p>
        </w:tc>
        <w:tc>
          <w:tcPr>
            <w:tcW w:w="0" w:type="dxa"/>
            <w:vAlign w:val="bottom"/>
          </w:tcPr>
          <w:p>
            <w:pPr>
              <w:spacing w:after="0"/>
              <w:rPr>
                <w:sz w:val="1"/>
                <w:szCs w:val="1"/>
                <w:color w:val="auto"/>
              </w:rPr>
            </w:pPr>
          </w:p>
        </w:tc>
      </w:tr>
      <w:tr>
        <w:trPr>
          <w:trHeight w:val="237"/>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313,350</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155,095</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468,445</w:t>
            </w: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products sold</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87,166</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36,300</w:t>
            </w: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9,773</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6,795</w:t>
            </w:r>
          </w:p>
        </w:tc>
        <w:tc>
          <w:tcPr>
            <w:tcW w:w="44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88,680</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24,834</w:t>
            </w: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items: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220</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18,585</w:t>
            </w:r>
          </w:p>
        </w:tc>
        <w:tc>
          <w:tcPr>
            <w:tcW w:w="0" w:type="dxa"/>
            <w:vAlign w:val="bottom"/>
          </w:tcPr>
          <w:p>
            <w:pPr>
              <w:spacing w:after="0"/>
              <w:rPr>
                <w:sz w:val="1"/>
                <w:szCs w:val="1"/>
                <w:color w:val="auto"/>
              </w:rPr>
            </w:pPr>
          </w:p>
        </w:tc>
      </w:tr>
      <w:tr>
        <w:trPr>
          <w:trHeight w:val="243"/>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(income) expense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440" w:type="dxa"/>
            <w:vAlign w:val="bottom"/>
          </w:tcPr>
          <w:p>
            <w:pPr>
              <w:spacing w:after="0"/>
              <w:rPr>
                <w:sz w:val="21"/>
                <w:szCs w:val="21"/>
                <w:color w:val="auto"/>
              </w:rPr>
            </w:pP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1,587,038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958,479</w:t>
            </w: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8,060</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2,553,577</w:t>
            </w:r>
          </w:p>
        </w:tc>
        <w:tc>
          <w:tcPr>
            <w:tcW w:w="0" w:type="dxa"/>
            <w:vAlign w:val="bottom"/>
          </w:tcPr>
          <w:p>
            <w:pPr>
              <w:spacing w:after="0"/>
              <w:rPr>
                <w:sz w:val="1"/>
                <w:szCs w:val="1"/>
                <w:color w:val="auto"/>
              </w:rPr>
            </w:pPr>
          </w:p>
        </w:tc>
      </w:tr>
      <w:tr>
        <w:trPr>
          <w:trHeight w:val="24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440" w:type="dxa"/>
            <w:vAlign w:val="bottom"/>
          </w:tcPr>
          <w:p>
            <w:pPr>
              <w:spacing w:after="0"/>
              <w:rPr>
                <w:sz w:val="21"/>
                <w:szCs w:val="21"/>
                <w:color w:val="auto"/>
              </w:rPr>
            </w:pP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282</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80" w:hanging="246"/>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Corporate/Reconciling items consist primarily of corporate expenses and other items not directly attributable to reportable segments.</w:t>
      </w:r>
    </w:p>
    <w:p>
      <w:pPr>
        <w:ind w:left="380" w:hanging="246"/>
        <w:spacing w:after="0" w:line="219"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Corporate and reconciling items assets driven primarily by bank overdrafts under our notional cash pooling</w:t>
      </w:r>
    </w:p>
    <w:p>
      <w:pPr>
        <w:ind w:left="140"/>
        <w:spacing w:after="0"/>
        <w:rPr>
          <w:sz w:val="20"/>
          <w:szCs w:val="20"/>
          <w:color w:val="auto"/>
        </w:rPr>
      </w:pPr>
      <w:r>
        <w:rPr>
          <w:rFonts w:ascii="Times New Roman" w:cs="Times New Roman" w:eastAsia="Times New Roman" w:hAnsi="Times New Roman"/>
          <w:sz w:val="18"/>
          <w:szCs w:val="18"/>
          <w:color w:val="auto"/>
        </w:rPr>
        <w:t>arrangement. Refer to Note 3—Cash and Cash Equivalents for further details.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00" w:type="dxa"/>
            <w:vAlign w:val="bottom"/>
          </w:tcPr>
          <w:p>
            <w:pPr>
              <w:spacing w:after="0"/>
              <w:rPr>
                <w:sz w:val="13"/>
                <w:szCs w:val="13"/>
                <w:color w:val="auto"/>
              </w:rPr>
            </w:pPr>
          </w:p>
        </w:tc>
        <w:tc>
          <w:tcPr>
            <w:tcW w:w="116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Corporate/Reconciling</w:t>
            </w:r>
          </w:p>
        </w:tc>
        <w:tc>
          <w:tcPr>
            <w:tcW w:w="280" w:type="dxa"/>
            <w:vAlign w:val="bottom"/>
          </w:tcPr>
          <w:p>
            <w:pPr>
              <w:spacing w:after="0"/>
              <w:rPr>
                <w:sz w:val="13"/>
                <w:szCs w:val="13"/>
                <w:color w:val="auto"/>
              </w:rPr>
            </w:pPr>
          </w:p>
        </w:tc>
        <w:tc>
          <w:tcPr>
            <w:tcW w:w="11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3"/>
        </w:trPr>
        <w:tc>
          <w:tcPr>
            <w:tcW w:w="51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1"/>
              <w:spacing w:after="0" w:line="202" w:lineRule="exact"/>
              <w:rPr>
                <w:sz w:val="20"/>
                <w:szCs w:val="20"/>
                <w:color w:val="auto"/>
              </w:rPr>
            </w:pPr>
            <w:r>
              <w:rPr>
                <w:rFonts w:ascii="Times New Roman" w:cs="Times New Roman" w:eastAsia="Times New Roman" w:hAnsi="Times New Roman"/>
                <w:sz w:val="14"/>
                <w:szCs w:val="14"/>
                <w:b w:val="1"/>
                <w:bCs w:val="1"/>
                <w:color w:val="auto"/>
              </w:rPr>
              <w:t>Items</w:t>
            </w:r>
            <w:r>
              <w:rPr>
                <w:rFonts w:ascii="Times New Roman" w:cs="Times New Roman" w:eastAsia="Times New Roman" w:hAnsi="Times New Roman"/>
                <w:sz w:val="18"/>
                <w:szCs w:val="18"/>
                <w:b w:val="1"/>
                <w:bCs w:val="1"/>
                <w:color w:val="auto"/>
                <w:vertAlign w:val="superscript"/>
              </w:rPr>
              <w:t>(a)</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37"/>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1,004,935</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498,454</w:t>
            </w: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1,503,389</w:t>
            </w: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products sold</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283,277</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175,732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121,432</w:t>
            </w: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38,138</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22,318</w:t>
            </w:r>
          </w:p>
        </w:tc>
        <w:tc>
          <w:tcPr>
            <w:tcW w:w="44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303,880</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71,427</w:t>
            </w: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items: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23,528</w:t>
            </w: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657</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60,683</w:t>
            </w:r>
          </w:p>
        </w:tc>
        <w:tc>
          <w:tcPr>
            <w:tcW w:w="0" w:type="dxa"/>
            <w:vAlign w:val="bottom"/>
          </w:tcPr>
          <w:p>
            <w:pPr>
              <w:spacing w:after="0"/>
              <w:rPr>
                <w:sz w:val="1"/>
                <w:szCs w:val="1"/>
                <w:color w:val="auto"/>
              </w:rPr>
            </w:pPr>
          </w:p>
        </w:tc>
      </w:tr>
      <w:tr>
        <w:trPr>
          <w:trHeight w:val="243"/>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(income) expense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440" w:type="dxa"/>
            <w:vAlign w:val="bottom"/>
          </w:tcPr>
          <w:p>
            <w:pPr>
              <w:spacing w:after="0"/>
              <w:rPr>
                <w:sz w:val="21"/>
                <w:szCs w:val="21"/>
                <w:color w:val="auto"/>
              </w:rPr>
            </w:pP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(13,134)</w:t>
            </w: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1,725,536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1,595,986</w:t>
            </w: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 xml:space="preserve">(43,210) </w:t>
            </w:r>
            <w:r>
              <w:rPr>
                <w:rFonts w:ascii="Times New Roman" w:cs="Times New Roman" w:eastAsia="Times New Roman" w:hAnsi="Times New Roman"/>
                <w:sz w:val="21"/>
                <w:szCs w:val="21"/>
                <w:color w:val="auto"/>
                <w:vertAlign w:val="superscript"/>
              </w:rPr>
              <w:t>(b)</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3,278,312</w:t>
            </w:r>
          </w:p>
        </w:tc>
        <w:tc>
          <w:tcPr>
            <w:tcW w:w="0" w:type="dxa"/>
            <w:vAlign w:val="bottom"/>
          </w:tcPr>
          <w:p>
            <w:pPr>
              <w:spacing w:after="0"/>
              <w:rPr>
                <w:sz w:val="1"/>
                <w:szCs w:val="1"/>
                <w:color w:val="auto"/>
              </w:rPr>
            </w:pPr>
          </w:p>
        </w:tc>
      </w:tr>
      <w:tr>
        <w:trPr>
          <w:trHeight w:val="243"/>
        </w:trPr>
        <w:tc>
          <w:tcPr>
            <w:tcW w:w="5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25,929</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8,823</w:t>
            </w:r>
          </w:p>
        </w:tc>
        <w:tc>
          <w:tcPr>
            <w:tcW w:w="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2,636</w:t>
            </w: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37,388</w:t>
            </w:r>
          </w:p>
        </w:tc>
        <w:tc>
          <w:tcPr>
            <w:tcW w:w="0" w:type="dxa"/>
            <w:vAlign w:val="bottom"/>
          </w:tcPr>
          <w:p>
            <w:pPr>
              <w:spacing w:after="0"/>
              <w:rPr>
                <w:sz w:val="1"/>
                <w:szCs w:val="1"/>
                <w:color w:val="auto"/>
              </w:rPr>
            </w:pPr>
          </w:p>
        </w:tc>
      </w:tr>
      <w:tr>
        <w:trPr>
          <w:trHeight w:val="237"/>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926,649</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437,251</w:t>
            </w: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1,363,900</w:t>
            </w: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products sold</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247,395</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161,039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106,136</w:t>
            </w: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31,718</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20,021</w:t>
            </w:r>
          </w:p>
        </w:tc>
        <w:tc>
          <w:tcPr>
            <w:tcW w:w="44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260,694</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63,699</w:t>
            </w: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items: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16,541</w:t>
            </w: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979</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52,935</w:t>
            </w:r>
          </w:p>
        </w:tc>
        <w:tc>
          <w:tcPr>
            <w:tcW w:w="0" w:type="dxa"/>
            <w:vAlign w:val="bottom"/>
          </w:tcPr>
          <w:p>
            <w:pPr>
              <w:spacing w:after="0"/>
              <w:rPr>
                <w:sz w:val="1"/>
                <w:szCs w:val="1"/>
                <w:color w:val="auto"/>
              </w:rPr>
            </w:pPr>
          </w:p>
        </w:tc>
      </w:tr>
      <w:tr>
        <w:trPr>
          <w:trHeight w:val="243"/>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(income) expense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440" w:type="dxa"/>
            <w:vAlign w:val="bottom"/>
          </w:tcPr>
          <w:p>
            <w:pPr>
              <w:spacing w:after="0"/>
              <w:rPr>
                <w:sz w:val="21"/>
                <w:szCs w:val="21"/>
                <w:color w:val="auto"/>
              </w:rPr>
            </w:pP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(10,681)</w:t>
            </w: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1,587,038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958,479</w:t>
            </w: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8,060</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2,553,577</w:t>
            </w:r>
          </w:p>
        </w:tc>
        <w:tc>
          <w:tcPr>
            <w:tcW w:w="0" w:type="dxa"/>
            <w:vAlign w:val="bottom"/>
          </w:tcPr>
          <w:p>
            <w:pPr>
              <w:spacing w:after="0"/>
              <w:rPr>
                <w:sz w:val="1"/>
                <w:szCs w:val="1"/>
                <w:color w:val="auto"/>
              </w:rPr>
            </w:pPr>
          </w:p>
        </w:tc>
      </w:tr>
      <w:tr>
        <w:trPr>
          <w:trHeight w:val="24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440" w:type="dxa"/>
            <w:vAlign w:val="bottom"/>
          </w:tcPr>
          <w:p>
            <w:pPr>
              <w:spacing w:after="0"/>
              <w:rPr>
                <w:sz w:val="21"/>
                <w:szCs w:val="21"/>
                <w:color w:val="auto"/>
              </w:rPr>
            </w:pP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20,046</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80" w:hanging="246"/>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Corporate/Reconciling items consist primarily of corporate expenses and other items not directly attributable to reportable segments.</w:t>
      </w:r>
    </w:p>
    <w:p>
      <w:pPr>
        <w:ind w:left="380" w:hanging="246"/>
        <w:spacing w:after="0" w:line="219"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Corporate and reconciling items assets driven primarily by bank overdrafts under our notional cash pooling</w:t>
      </w:r>
    </w:p>
    <w:p>
      <w:pPr>
        <w:ind w:left="140"/>
        <w:spacing w:after="0"/>
        <w:rPr>
          <w:sz w:val="20"/>
          <w:szCs w:val="20"/>
          <w:color w:val="auto"/>
        </w:rPr>
      </w:pPr>
      <w:r>
        <w:rPr>
          <w:rFonts w:ascii="Times New Roman" w:cs="Times New Roman" w:eastAsia="Times New Roman" w:hAnsi="Times New Roman"/>
          <w:sz w:val="18"/>
          <w:szCs w:val="18"/>
          <w:color w:val="auto"/>
        </w:rPr>
        <w:t>arrangement. Refer to Note 3—Cash and Cash Equivalents for further details.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total Adjusted operating income from reportable segments to Income before income taxes is presented in the following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20" w:type="dxa"/>
            <w:vAlign w:val="bottom"/>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income from reportable segments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128,494</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113,514</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375,307</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324,393</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expenses</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13,564</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9,773</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38,138</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31,718</w:t>
            </w:r>
          </w:p>
        </w:tc>
        <w:tc>
          <w:tcPr>
            <w:tcW w:w="0" w:type="dxa"/>
            <w:vAlign w:val="bottom"/>
          </w:tcPr>
          <w:p>
            <w:pPr>
              <w:spacing w:after="0"/>
              <w:rPr>
                <w:sz w:val="1"/>
                <w:szCs w:val="1"/>
                <w:color w:val="auto"/>
              </w:rPr>
            </w:pPr>
          </w:p>
        </w:tc>
      </w:tr>
      <w:tr>
        <w:trPr>
          <w:trHeight w:val="243"/>
        </w:trPr>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charges (Note 4)</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0" w:type="dxa"/>
            <w:vAlign w:val="bottom"/>
          </w:tcPr>
          <w:p>
            <w:pPr>
              <w:spacing w:after="0"/>
              <w:rPr>
                <w:sz w:val="1"/>
                <w:szCs w:val="1"/>
                <w:color w:val="auto"/>
              </w:rPr>
            </w:pPr>
          </w:p>
        </w:tc>
      </w:tr>
      <w:tr>
        <w:trPr>
          <w:trHeight w:val="243"/>
        </w:trPr>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Currency exchange losses, net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13,237</w:t>
            </w:r>
          </w:p>
        </w:tc>
        <w:tc>
          <w:tcPr>
            <w:tcW w:w="0" w:type="dxa"/>
            <w:vAlign w:val="bottom"/>
          </w:tcPr>
          <w:p>
            <w:pPr>
              <w:spacing w:after="0"/>
              <w:rPr>
                <w:sz w:val="1"/>
                <w:szCs w:val="1"/>
                <w:color w:val="auto"/>
              </w:rPr>
            </w:pPr>
          </w:p>
        </w:tc>
      </w:tr>
      <w:tr>
        <w:trPr>
          <w:trHeight w:val="243"/>
        </w:trPr>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13,759</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23,368</w:t>
            </w:r>
          </w:p>
        </w:tc>
        <w:tc>
          <w:tcPr>
            <w:tcW w:w="0" w:type="dxa"/>
            <w:vAlign w:val="bottom"/>
          </w:tcPr>
          <w:p>
            <w:pPr>
              <w:spacing w:after="0"/>
              <w:rPr>
                <w:sz w:val="1"/>
                <w:szCs w:val="1"/>
                <w:color w:val="auto"/>
              </w:rPr>
            </w:pPr>
          </w:p>
        </w:tc>
      </w:tr>
      <w:tr>
        <w:trPr>
          <w:trHeight w:val="243"/>
        </w:trPr>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(22,538)</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(18,585)</w:t>
            </w:r>
          </w:p>
        </w:tc>
        <w:tc>
          <w:tcPr>
            <w:tcW w:w="0" w:type="dxa"/>
            <w:vAlign w:val="bottom"/>
          </w:tcPr>
          <w:p>
            <w:pPr>
              <w:spacing w:after="0"/>
              <w:rPr>
                <w:sz w:val="1"/>
                <w:szCs w:val="1"/>
                <w:color w:val="auto"/>
              </w:rPr>
            </w:pPr>
          </w:p>
        </w:tc>
      </w:tr>
      <w:tr>
        <w:trPr>
          <w:trHeight w:val="243"/>
        </w:trPr>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Acquisition-related amortization</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14,841</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0" w:type="dxa"/>
            <w:vAlign w:val="bottom"/>
          </w:tcPr>
          <w:p>
            <w:pPr>
              <w:spacing w:after="0"/>
              <w:rPr>
                <w:sz w:val="1"/>
                <w:szCs w:val="1"/>
                <w:color w:val="auto"/>
              </w:rPr>
            </w:pPr>
          </w:p>
        </w:tc>
      </w:tr>
      <w:tr>
        <w:trPr>
          <w:trHeight w:val="243"/>
        </w:trPr>
        <w:tc>
          <w:tcPr>
            <w:tcW w:w="5380" w:type="dxa"/>
            <w:vAlign w:val="bottom"/>
            <w:shd w:val="clear" w:color="auto" w:fill="CCEEFF"/>
          </w:tcPr>
          <w:p>
            <w:pPr>
              <w:ind w:left="240"/>
              <w:spacing w:after="0" w:line="243" w:lineRule="exact"/>
              <w:rPr>
                <w:sz w:val="20"/>
                <w:szCs w:val="20"/>
                <w:color w:val="auto"/>
              </w:rPr>
            </w:pPr>
            <w:r>
              <w:rPr>
                <w:rFonts w:ascii="Times New Roman" w:cs="Times New Roman" w:eastAsia="Times New Roman" w:hAnsi="Times New Roman"/>
                <w:sz w:val="18"/>
                <w:szCs w:val="18"/>
                <w:color w:val="auto"/>
              </w:rPr>
              <w:t>Transaction and digital transformation costs</w:t>
            </w:r>
            <w:r>
              <w:rPr>
                <w:rFonts w:ascii="Times New Roman" w:cs="Times New Roman" w:eastAsia="Times New Roman" w:hAnsi="Times New Roman"/>
                <w:sz w:val="23"/>
                <w:szCs w:val="23"/>
                <w:color w:val="auto"/>
                <w:vertAlign w:val="superscript"/>
              </w:rPr>
              <w:t>(a)</w:t>
            </w: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14,967</w:t>
            </w:r>
          </w:p>
        </w:tc>
        <w:tc>
          <w:tcPr>
            <w:tcW w:w="1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18,831</w:t>
            </w:r>
          </w:p>
        </w:tc>
        <w:tc>
          <w:tcPr>
            <w:tcW w:w="1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10,002</w:t>
            </w:r>
          </w:p>
        </w:tc>
        <w:tc>
          <w:tcPr>
            <w:tcW w:w="0" w:type="dxa"/>
            <w:vAlign w:val="bottom"/>
          </w:tcPr>
          <w:p>
            <w:pPr>
              <w:spacing w:after="0"/>
              <w:rPr>
                <w:sz w:val="1"/>
                <w:szCs w:val="1"/>
                <w:color w:val="auto"/>
              </w:rPr>
            </w:pPr>
          </w:p>
        </w:tc>
      </w:tr>
      <w:tr>
        <w:trPr>
          <w:trHeight w:val="237"/>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81,954</w:t>
            </w:r>
          </w:p>
        </w:tc>
        <w:tc>
          <w:tcPr>
            <w:tcW w:w="14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92,456</w:t>
            </w:r>
          </w:p>
        </w:tc>
        <w:tc>
          <w:tcPr>
            <w:tcW w:w="1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286,333</w:t>
            </w:r>
          </w:p>
        </w:tc>
        <w:tc>
          <w:tcPr>
            <w:tcW w:w="14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253,150</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0" w:right="120" w:firstLine="6"/>
        <w:spacing w:after="0" w:line="218" w:lineRule="auto"/>
        <w:tabs>
          <w:tab w:leader="none" w:pos="194"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Transaction and digital transformation costs include advisory, legal, accounting, valuation, and other professional or consulting fees incurred during our evaluation of or in connection with acquisitions and divestitures as well as costs associated with strategic digital transformation efforts. These costs are included in Selling, general and administrative expense in the unaudited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sales by product group was as follows:</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Pr>
          <w:p>
            <w:pPr>
              <w:spacing w:after="0"/>
              <w:rPr>
                <w:sz w:val="16"/>
                <w:szCs w:val="16"/>
                <w:color w:val="auto"/>
              </w:rPr>
            </w:pPr>
          </w:p>
        </w:tc>
        <w:tc>
          <w:tcPr>
            <w:tcW w:w="12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80" w:type="dxa"/>
            <w:vAlign w:val="bottom"/>
          </w:tcPr>
          <w:p>
            <w:pPr>
              <w:spacing w:after="0"/>
              <w:rPr>
                <w:sz w:val="16"/>
                <w:szCs w:val="16"/>
                <w:color w:val="auto"/>
              </w:rPr>
            </w:pPr>
          </w:p>
        </w:tc>
        <w:tc>
          <w:tcPr>
            <w:tcW w:w="128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20" w:type="dxa"/>
            <w:vAlign w:val="bottom"/>
            <w:shd w:val="clear" w:color="auto" w:fill="CCEEFF"/>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Detection </w:t>
            </w:r>
            <w:r>
              <w:rPr>
                <w:rFonts w:ascii="Times New Roman" w:cs="Times New Roman" w:eastAsia="Times New Roman" w:hAnsi="Times New Roman"/>
                <w:sz w:val="23"/>
                <w:szCs w:val="23"/>
                <w:color w:val="auto"/>
                <w:vertAlign w:val="superscript"/>
              </w:rPr>
              <w:t>(a)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233,935</w:t>
            </w:r>
          </w:p>
        </w:tc>
        <w:tc>
          <w:tcPr>
            <w:tcW w:w="740" w:type="dxa"/>
            <w:vAlign w:val="bottom"/>
            <w:shd w:val="clear" w:color="auto" w:fill="CCEEFF"/>
          </w:tcPr>
          <w:p>
            <w:pPr>
              <w:jc w:val="center"/>
              <w:ind w:right="154"/>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130,107</w:t>
            </w:r>
          </w:p>
        </w:tc>
        <w:tc>
          <w:tcPr>
            <w:tcW w:w="800" w:type="dxa"/>
            <w:vAlign w:val="bottom"/>
            <w:shd w:val="clear" w:color="auto" w:fill="CCEEFF"/>
          </w:tcPr>
          <w:p>
            <w:pPr>
              <w:jc w:val="center"/>
              <w:ind w:right="94"/>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103,828</w:t>
            </w:r>
          </w:p>
        </w:tc>
        <w:tc>
          <w:tcPr>
            <w:tcW w:w="740" w:type="dxa"/>
            <w:vAlign w:val="bottom"/>
            <w:shd w:val="clear" w:color="auto" w:fill="CCEEFF"/>
          </w:tcPr>
          <w:p>
            <w:pPr>
              <w:jc w:val="center"/>
              <w:ind w:right="154"/>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3"/>
        </w:trPr>
        <w:tc>
          <w:tcPr>
            <w:tcW w:w="4020" w:type="dxa"/>
            <w:vAlign w:val="bottom"/>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Fire Service </w:t>
            </w:r>
            <w:r>
              <w:rPr>
                <w:rFonts w:ascii="Times New Roman" w:cs="Times New Roman" w:eastAsia="Times New Roman" w:hAnsi="Times New Roman"/>
                <w:sz w:val="23"/>
                <w:szCs w:val="23"/>
                <w:color w:val="auto"/>
                <w:vertAlign w:val="superscript"/>
              </w:rPr>
              <w:t>(b)</w:t>
            </w:r>
          </w:p>
        </w:tc>
        <w:tc>
          <w:tcPr>
            <w:tcW w:w="260" w:type="dxa"/>
            <w:vAlign w:val="bottom"/>
          </w:tcPr>
          <w:p>
            <w:pPr>
              <w:spacing w:after="0"/>
              <w:rPr>
                <w:sz w:val="21"/>
                <w:szCs w:val="21"/>
                <w:color w:val="auto"/>
              </w:rPr>
            </w:pPr>
          </w:p>
        </w:tc>
        <w:tc>
          <w:tcPr>
            <w:tcW w:w="130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173,214</w:t>
            </w:r>
          </w:p>
        </w:tc>
        <w:tc>
          <w:tcPr>
            <w:tcW w:w="740" w:type="dxa"/>
            <w:vAlign w:val="bottom"/>
          </w:tcPr>
          <w:p>
            <w:pPr>
              <w:jc w:val="center"/>
              <w:ind w:right="154"/>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119,179</w:t>
            </w:r>
          </w:p>
        </w:tc>
        <w:tc>
          <w:tcPr>
            <w:tcW w:w="80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54,035</w:t>
            </w:r>
          </w:p>
        </w:tc>
        <w:tc>
          <w:tcPr>
            <w:tcW w:w="740" w:type="dxa"/>
            <w:vAlign w:val="bottom"/>
          </w:tcPr>
          <w:p>
            <w:pPr>
              <w:jc w:val="center"/>
              <w:ind w:right="154"/>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Industrial PPE and Other </w:t>
            </w:r>
            <w:r>
              <w:rPr>
                <w:rFonts w:ascii="Times New Roman" w:cs="Times New Roman" w:eastAsia="Times New Roman" w:hAnsi="Times New Roman"/>
                <w:sz w:val="23"/>
                <w:szCs w:val="23"/>
                <w:color w:val="auto"/>
                <w:vertAlign w:val="superscript"/>
              </w:rPr>
              <w:t>(c)</w:t>
            </w: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129,281</w:t>
            </w:r>
          </w:p>
        </w:tc>
        <w:tc>
          <w:tcPr>
            <w:tcW w:w="740" w:type="dxa"/>
            <w:vAlign w:val="bottom"/>
            <w:tcBorders>
              <w:bottom w:val="single" w:sz="8" w:color="auto"/>
            </w:tcBorders>
            <w:shd w:val="clear" w:color="auto" w:fill="CCEEFF"/>
          </w:tcPr>
          <w:p>
            <w:pPr>
              <w:jc w:val="center"/>
              <w:ind w:right="154"/>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88,960</w:t>
            </w:r>
          </w:p>
        </w:tc>
        <w:tc>
          <w:tcPr>
            <w:tcW w:w="800" w:type="dxa"/>
            <w:vAlign w:val="bottom"/>
            <w:tcBorders>
              <w:bottom w:val="single" w:sz="8" w:color="auto"/>
            </w:tcBorders>
            <w:shd w:val="clear" w:color="auto" w:fill="CCEEFF"/>
          </w:tcPr>
          <w:p>
            <w:pPr>
              <w:jc w:val="center"/>
              <w:ind w:right="94"/>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40,321</w:t>
            </w:r>
          </w:p>
        </w:tc>
        <w:tc>
          <w:tcPr>
            <w:tcW w:w="740" w:type="dxa"/>
            <w:vAlign w:val="bottom"/>
            <w:tcBorders>
              <w:bottom w:val="single" w:sz="8" w:color="auto"/>
            </w:tcBorders>
            <w:shd w:val="clear" w:color="auto" w:fill="CCEEFF"/>
          </w:tcPr>
          <w:p>
            <w:pPr>
              <w:jc w:val="center"/>
              <w:ind w:right="154"/>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536,430</w:t>
            </w:r>
          </w:p>
        </w:tc>
        <w:tc>
          <w:tcPr>
            <w:tcW w:w="7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8"/>
                <w:szCs w:val="18"/>
                <w:color w:val="auto"/>
                <w:w w:val="99"/>
              </w:rPr>
              <w:t>100%</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338,246</w:t>
            </w:r>
          </w:p>
        </w:tc>
        <w:tc>
          <w:tcPr>
            <w:tcW w:w="8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8"/>
                <w:szCs w:val="18"/>
                <w:color w:val="auto"/>
                <w:w w:val="99"/>
              </w:rPr>
              <w:t>100%</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198,184</w:t>
            </w:r>
          </w:p>
        </w:tc>
        <w:tc>
          <w:tcPr>
            <w:tcW w:w="7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28"/>
        </w:trPr>
        <w:tc>
          <w:tcPr>
            <w:tcW w:w="40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Pr>
          <w:p>
            <w:pPr>
              <w:spacing w:after="0"/>
              <w:rPr>
                <w:sz w:val="16"/>
                <w:szCs w:val="16"/>
                <w:color w:val="auto"/>
              </w:rPr>
            </w:pPr>
          </w:p>
        </w:tc>
        <w:tc>
          <w:tcPr>
            <w:tcW w:w="12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80" w:type="dxa"/>
            <w:vAlign w:val="bottom"/>
          </w:tcPr>
          <w:p>
            <w:pPr>
              <w:spacing w:after="0"/>
              <w:rPr>
                <w:sz w:val="16"/>
                <w:szCs w:val="16"/>
                <w:color w:val="auto"/>
              </w:rPr>
            </w:pPr>
          </w:p>
        </w:tc>
        <w:tc>
          <w:tcPr>
            <w:tcW w:w="128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20" w:type="dxa"/>
            <w:vAlign w:val="bottom"/>
            <w:shd w:val="clear" w:color="auto" w:fill="CCEEFF"/>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Detection </w:t>
            </w:r>
            <w:r>
              <w:rPr>
                <w:rFonts w:ascii="Times New Roman" w:cs="Times New Roman" w:eastAsia="Times New Roman" w:hAnsi="Times New Roman"/>
                <w:sz w:val="23"/>
                <w:szCs w:val="23"/>
                <w:color w:val="auto"/>
                <w:vertAlign w:val="superscript"/>
              </w:rPr>
              <w:t>(a)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191,188</w:t>
            </w:r>
          </w:p>
        </w:tc>
        <w:tc>
          <w:tcPr>
            <w:tcW w:w="740" w:type="dxa"/>
            <w:vAlign w:val="bottom"/>
            <w:shd w:val="clear" w:color="auto" w:fill="CCEEFF"/>
          </w:tcPr>
          <w:p>
            <w:pPr>
              <w:jc w:val="center"/>
              <w:ind w:right="154"/>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124,111</w:t>
            </w:r>
          </w:p>
        </w:tc>
        <w:tc>
          <w:tcPr>
            <w:tcW w:w="800" w:type="dxa"/>
            <w:vAlign w:val="bottom"/>
            <w:shd w:val="clear" w:color="auto" w:fill="CCEEFF"/>
          </w:tcPr>
          <w:p>
            <w:pPr>
              <w:jc w:val="center"/>
              <w:ind w:right="94"/>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67,077</w:t>
            </w:r>
          </w:p>
        </w:tc>
        <w:tc>
          <w:tcPr>
            <w:tcW w:w="740" w:type="dxa"/>
            <w:vAlign w:val="bottom"/>
            <w:shd w:val="clear" w:color="auto" w:fill="CCEEFF"/>
          </w:tcPr>
          <w:p>
            <w:pPr>
              <w:jc w:val="center"/>
              <w:ind w:right="154"/>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3"/>
        </w:trPr>
        <w:tc>
          <w:tcPr>
            <w:tcW w:w="4020" w:type="dxa"/>
            <w:vAlign w:val="bottom"/>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Fire Service </w:t>
            </w:r>
            <w:r>
              <w:rPr>
                <w:rFonts w:ascii="Times New Roman" w:cs="Times New Roman" w:eastAsia="Times New Roman" w:hAnsi="Times New Roman"/>
                <w:sz w:val="23"/>
                <w:szCs w:val="23"/>
                <w:color w:val="auto"/>
                <w:vertAlign w:val="superscript"/>
              </w:rPr>
              <w:t>(b)</w:t>
            </w:r>
          </w:p>
        </w:tc>
        <w:tc>
          <w:tcPr>
            <w:tcW w:w="260" w:type="dxa"/>
            <w:vAlign w:val="bottom"/>
          </w:tcPr>
          <w:p>
            <w:pPr>
              <w:spacing w:after="0"/>
              <w:rPr>
                <w:sz w:val="21"/>
                <w:szCs w:val="21"/>
                <w:color w:val="auto"/>
              </w:rPr>
            </w:pPr>
          </w:p>
        </w:tc>
        <w:tc>
          <w:tcPr>
            <w:tcW w:w="130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158,654</w:t>
            </w:r>
          </w:p>
        </w:tc>
        <w:tc>
          <w:tcPr>
            <w:tcW w:w="740" w:type="dxa"/>
            <w:vAlign w:val="bottom"/>
          </w:tcPr>
          <w:p>
            <w:pPr>
              <w:jc w:val="center"/>
              <w:ind w:right="154"/>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109,497</w:t>
            </w:r>
          </w:p>
        </w:tc>
        <w:tc>
          <w:tcPr>
            <w:tcW w:w="80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49,157</w:t>
            </w:r>
          </w:p>
        </w:tc>
        <w:tc>
          <w:tcPr>
            <w:tcW w:w="740" w:type="dxa"/>
            <w:vAlign w:val="bottom"/>
          </w:tcPr>
          <w:p>
            <w:pPr>
              <w:jc w:val="center"/>
              <w:ind w:right="154"/>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Industrial PPE and Other </w:t>
            </w:r>
            <w:r>
              <w:rPr>
                <w:rFonts w:ascii="Times New Roman" w:cs="Times New Roman" w:eastAsia="Times New Roman" w:hAnsi="Times New Roman"/>
                <w:sz w:val="23"/>
                <w:szCs w:val="23"/>
                <w:color w:val="auto"/>
                <w:vertAlign w:val="superscript"/>
              </w:rPr>
              <w:t>(c)</w:t>
            </w: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118,603</w:t>
            </w:r>
          </w:p>
        </w:tc>
        <w:tc>
          <w:tcPr>
            <w:tcW w:w="740" w:type="dxa"/>
            <w:vAlign w:val="bottom"/>
            <w:tcBorders>
              <w:bottom w:val="single" w:sz="8" w:color="auto"/>
            </w:tcBorders>
            <w:shd w:val="clear" w:color="auto" w:fill="CCEEFF"/>
          </w:tcPr>
          <w:p>
            <w:pPr>
              <w:jc w:val="center"/>
              <w:ind w:right="154"/>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79,742</w:t>
            </w:r>
          </w:p>
        </w:tc>
        <w:tc>
          <w:tcPr>
            <w:tcW w:w="800" w:type="dxa"/>
            <w:vAlign w:val="bottom"/>
            <w:tcBorders>
              <w:bottom w:val="single" w:sz="8" w:color="auto"/>
            </w:tcBorders>
            <w:shd w:val="clear" w:color="auto" w:fill="CCEEFF"/>
          </w:tcPr>
          <w:p>
            <w:pPr>
              <w:jc w:val="center"/>
              <w:ind w:right="94"/>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38,861</w:t>
            </w:r>
          </w:p>
        </w:tc>
        <w:tc>
          <w:tcPr>
            <w:tcW w:w="740" w:type="dxa"/>
            <w:vAlign w:val="bottom"/>
            <w:tcBorders>
              <w:bottom w:val="single" w:sz="8" w:color="auto"/>
            </w:tcBorders>
            <w:shd w:val="clear" w:color="auto" w:fill="CCEEFF"/>
          </w:tcPr>
          <w:p>
            <w:pPr>
              <w:jc w:val="center"/>
              <w:ind w:right="154"/>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468,445</w:t>
            </w:r>
          </w:p>
        </w:tc>
        <w:tc>
          <w:tcPr>
            <w:tcW w:w="7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8"/>
                <w:szCs w:val="18"/>
                <w:color w:val="auto"/>
                <w:w w:val="99"/>
              </w:rPr>
              <w:t>100%</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313,350</w:t>
            </w:r>
          </w:p>
        </w:tc>
        <w:tc>
          <w:tcPr>
            <w:tcW w:w="8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8"/>
                <w:szCs w:val="18"/>
                <w:color w:val="auto"/>
                <w:w w:val="99"/>
              </w:rPr>
              <w:t>100%</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155,095</w:t>
            </w:r>
          </w:p>
        </w:tc>
        <w:tc>
          <w:tcPr>
            <w:tcW w:w="7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28"/>
        </w:trPr>
        <w:tc>
          <w:tcPr>
            <w:tcW w:w="40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Pr>
          <w:p>
            <w:pPr>
              <w:spacing w:after="0"/>
              <w:rPr>
                <w:sz w:val="16"/>
                <w:szCs w:val="16"/>
                <w:color w:val="auto"/>
              </w:rPr>
            </w:pPr>
          </w:p>
        </w:tc>
        <w:tc>
          <w:tcPr>
            <w:tcW w:w="12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80" w:type="dxa"/>
            <w:vAlign w:val="bottom"/>
          </w:tcPr>
          <w:p>
            <w:pPr>
              <w:spacing w:after="0"/>
              <w:rPr>
                <w:sz w:val="16"/>
                <w:szCs w:val="16"/>
                <w:color w:val="auto"/>
              </w:rPr>
            </w:pPr>
          </w:p>
        </w:tc>
        <w:tc>
          <w:tcPr>
            <w:tcW w:w="128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20" w:type="dxa"/>
            <w:vAlign w:val="bottom"/>
            <w:shd w:val="clear" w:color="auto" w:fill="CCEEFF"/>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Detection </w:t>
            </w:r>
            <w:r>
              <w:rPr>
                <w:rFonts w:ascii="Times New Roman" w:cs="Times New Roman" w:eastAsia="Times New Roman" w:hAnsi="Times New Roman"/>
                <w:sz w:val="23"/>
                <w:szCs w:val="23"/>
                <w:color w:val="auto"/>
                <w:vertAlign w:val="superscript"/>
              </w:rPr>
              <w:t>(a)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616,154</w:t>
            </w:r>
          </w:p>
        </w:tc>
        <w:tc>
          <w:tcPr>
            <w:tcW w:w="740" w:type="dxa"/>
            <w:vAlign w:val="bottom"/>
            <w:shd w:val="clear" w:color="auto" w:fill="CCEEFF"/>
          </w:tcPr>
          <w:p>
            <w:pPr>
              <w:jc w:val="center"/>
              <w:ind w:right="154"/>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392,710</w:t>
            </w:r>
          </w:p>
        </w:tc>
        <w:tc>
          <w:tcPr>
            <w:tcW w:w="800" w:type="dxa"/>
            <w:vAlign w:val="bottom"/>
            <w:shd w:val="clear" w:color="auto" w:fill="CCEEFF"/>
          </w:tcPr>
          <w:p>
            <w:pPr>
              <w:jc w:val="center"/>
              <w:ind w:right="94"/>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223,444</w:t>
            </w:r>
          </w:p>
        </w:tc>
        <w:tc>
          <w:tcPr>
            <w:tcW w:w="740" w:type="dxa"/>
            <w:vAlign w:val="bottom"/>
            <w:shd w:val="clear" w:color="auto" w:fill="CCEEFF"/>
          </w:tcPr>
          <w:p>
            <w:pPr>
              <w:jc w:val="center"/>
              <w:ind w:right="154"/>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4020" w:type="dxa"/>
            <w:vAlign w:val="bottom"/>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Fire Service </w:t>
            </w:r>
            <w:r>
              <w:rPr>
                <w:rFonts w:ascii="Times New Roman" w:cs="Times New Roman" w:eastAsia="Times New Roman" w:hAnsi="Times New Roman"/>
                <w:sz w:val="23"/>
                <w:szCs w:val="23"/>
                <w:color w:val="auto"/>
                <w:vertAlign w:val="superscript"/>
              </w:rPr>
              <w:t>(b)</w:t>
            </w:r>
          </w:p>
        </w:tc>
        <w:tc>
          <w:tcPr>
            <w:tcW w:w="260" w:type="dxa"/>
            <w:vAlign w:val="bottom"/>
          </w:tcPr>
          <w:p>
            <w:pPr>
              <w:spacing w:after="0"/>
              <w:rPr>
                <w:sz w:val="21"/>
                <w:szCs w:val="21"/>
                <w:color w:val="auto"/>
              </w:rPr>
            </w:pPr>
          </w:p>
        </w:tc>
        <w:tc>
          <w:tcPr>
            <w:tcW w:w="130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494,378</w:t>
            </w:r>
          </w:p>
        </w:tc>
        <w:tc>
          <w:tcPr>
            <w:tcW w:w="740" w:type="dxa"/>
            <w:vAlign w:val="bottom"/>
          </w:tcPr>
          <w:p>
            <w:pPr>
              <w:jc w:val="center"/>
              <w:ind w:right="154"/>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343,514</w:t>
            </w:r>
          </w:p>
        </w:tc>
        <w:tc>
          <w:tcPr>
            <w:tcW w:w="80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150,864</w:t>
            </w:r>
          </w:p>
        </w:tc>
        <w:tc>
          <w:tcPr>
            <w:tcW w:w="740" w:type="dxa"/>
            <w:vAlign w:val="bottom"/>
          </w:tcPr>
          <w:p>
            <w:pPr>
              <w:jc w:val="center"/>
              <w:ind w:right="154"/>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Industrial PPE and Other </w:t>
            </w:r>
            <w:r>
              <w:rPr>
                <w:rFonts w:ascii="Times New Roman" w:cs="Times New Roman" w:eastAsia="Times New Roman" w:hAnsi="Times New Roman"/>
                <w:sz w:val="23"/>
                <w:szCs w:val="23"/>
                <w:color w:val="auto"/>
                <w:vertAlign w:val="superscript"/>
              </w:rPr>
              <w:t>(c)</w:t>
            </w: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392,857</w:t>
            </w:r>
          </w:p>
        </w:tc>
        <w:tc>
          <w:tcPr>
            <w:tcW w:w="740" w:type="dxa"/>
            <w:vAlign w:val="bottom"/>
            <w:tcBorders>
              <w:bottom w:val="single" w:sz="8" w:color="auto"/>
            </w:tcBorders>
            <w:shd w:val="clear" w:color="auto" w:fill="CCEEFF"/>
          </w:tcPr>
          <w:p>
            <w:pPr>
              <w:jc w:val="center"/>
              <w:ind w:right="154"/>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268,711</w:t>
            </w:r>
          </w:p>
        </w:tc>
        <w:tc>
          <w:tcPr>
            <w:tcW w:w="800" w:type="dxa"/>
            <w:vAlign w:val="bottom"/>
            <w:tcBorders>
              <w:bottom w:val="single" w:sz="8" w:color="auto"/>
            </w:tcBorders>
            <w:shd w:val="clear" w:color="auto" w:fill="CCEEFF"/>
          </w:tcPr>
          <w:p>
            <w:pPr>
              <w:jc w:val="center"/>
              <w:ind w:right="94"/>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124,146</w:t>
            </w:r>
          </w:p>
        </w:tc>
        <w:tc>
          <w:tcPr>
            <w:tcW w:w="740" w:type="dxa"/>
            <w:vAlign w:val="bottom"/>
            <w:tcBorders>
              <w:bottom w:val="single" w:sz="8" w:color="auto"/>
            </w:tcBorders>
            <w:shd w:val="clear" w:color="auto" w:fill="CCEEFF"/>
          </w:tcPr>
          <w:p>
            <w:pPr>
              <w:jc w:val="center"/>
              <w:ind w:right="154"/>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1,503,389</w:t>
            </w:r>
          </w:p>
        </w:tc>
        <w:tc>
          <w:tcPr>
            <w:tcW w:w="7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8"/>
                <w:szCs w:val="18"/>
                <w:color w:val="auto"/>
                <w:w w:val="99"/>
              </w:rPr>
              <w:t>100%</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1,004,935</w:t>
            </w:r>
          </w:p>
        </w:tc>
        <w:tc>
          <w:tcPr>
            <w:tcW w:w="8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8"/>
                <w:szCs w:val="18"/>
                <w:color w:val="auto"/>
                <w:w w:val="99"/>
              </w:rPr>
              <w:t>100%</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498,454</w:t>
            </w:r>
          </w:p>
        </w:tc>
        <w:tc>
          <w:tcPr>
            <w:tcW w:w="7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28"/>
        </w:trPr>
        <w:tc>
          <w:tcPr>
            <w:tcW w:w="40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Pr>
          <w:p>
            <w:pPr>
              <w:spacing w:after="0"/>
              <w:rPr>
                <w:sz w:val="16"/>
                <w:szCs w:val="16"/>
                <w:color w:val="auto"/>
              </w:rPr>
            </w:pPr>
          </w:p>
        </w:tc>
        <w:tc>
          <w:tcPr>
            <w:tcW w:w="12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80" w:type="dxa"/>
            <w:vAlign w:val="bottom"/>
          </w:tcPr>
          <w:p>
            <w:pPr>
              <w:spacing w:after="0"/>
              <w:rPr>
                <w:sz w:val="16"/>
                <w:szCs w:val="16"/>
                <w:color w:val="auto"/>
              </w:rPr>
            </w:pPr>
          </w:p>
        </w:tc>
        <w:tc>
          <w:tcPr>
            <w:tcW w:w="128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20" w:type="dxa"/>
            <w:vAlign w:val="bottom"/>
            <w:shd w:val="clear" w:color="auto" w:fill="CCEEFF"/>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Detection </w:t>
            </w:r>
            <w:r>
              <w:rPr>
                <w:rFonts w:ascii="Times New Roman" w:cs="Times New Roman" w:eastAsia="Times New Roman" w:hAnsi="Times New Roman"/>
                <w:sz w:val="23"/>
                <w:szCs w:val="23"/>
                <w:color w:val="auto"/>
                <w:vertAlign w:val="superscript"/>
              </w:rPr>
              <w:t>(a)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546,094</w:t>
            </w:r>
          </w:p>
        </w:tc>
        <w:tc>
          <w:tcPr>
            <w:tcW w:w="740" w:type="dxa"/>
            <w:vAlign w:val="bottom"/>
            <w:shd w:val="clear" w:color="auto" w:fill="CCEEFF"/>
          </w:tcPr>
          <w:p>
            <w:pPr>
              <w:jc w:val="center"/>
              <w:ind w:right="154"/>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361,176</w:t>
            </w:r>
          </w:p>
        </w:tc>
        <w:tc>
          <w:tcPr>
            <w:tcW w:w="800" w:type="dxa"/>
            <w:vAlign w:val="bottom"/>
            <w:shd w:val="clear" w:color="auto" w:fill="CCEEFF"/>
          </w:tcPr>
          <w:p>
            <w:pPr>
              <w:jc w:val="center"/>
              <w:ind w:right="94"/>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184,918</w:t>
            </w:r>
          </w:p>
        </w:tc>
        <w:tc>
          <w:tcPr>
            <w:tcW w:w="740" w:type="dxa"/>
            <w:vAlign w:val="bottom"/>
            <w:shd w:val="clear" w:color="auto" w:fill="CCEEFF"/>
          </w:tcPr>
          <w:p>
            <w:pPr>
              <w:jc w:val="center"/>
              <w:ind w:right="154"/>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4020" w:type="dxa"/>
            <w:vAlign w:val="bottom"/>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Fire Service </w:t>
            </w:r>
            <w:r>
              <w:rPr>
                <w:rFonts w:ascii="Times New Roman" w:cs="Times New Roman" w:eastAsia="Times New Roman" w:hAnsi="Times New Roman"/>
                <w:sz w:val="23"/>
                <w:szCs w:val="23"/>
                <w:color w:val="auto"/>
                <w:vertAlign w:val="superscript"/>
              </w:rPr>
              <w:t>(b)</w:t>
            </w:r>
          </w:p>
        </w:tc>
        <w:tc>
          <w:tcPr>
            <w:tcW w:w="260" w:type="dxa"/>
            <w:vAlign w:val="bottom"/>
          </w:tcPr>
          <w:p>
            <w:pPr>
              <w:spacing w:after="0"/>
              <w:rPr>
                <w:sz w:val="21"/>
                <w:szCs w:val="21"/>
                <w:color w:val="auto"/>
              </w:rPr>
            </w:pPr>
          </w:p>
        </w:tc>
        <w:tc>
          <w:tcPr>
            <w:tcW w:w="130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472,576</w:t>
            </w:r>
          </w:p>
        </w:tc>
        <w:tc>
          <w:tcPr>
            <w:tcW w:w="740" w:type="dxa"/>
            <w:vAlign w:val="bottom"/>
          </w:tcPr>
          <w:p>
            <w:pPr>
              <w:jc w:val="center"/>
              <w:ind w:right="154"/>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326,220</w:t>
            </w:r>
          </w:p>
        </w:tc>
        <w:tc>
          <w:tcPr>
            <w:tcW w:w="80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146,356</w:t>
            </w:r>
          </w:p>
        </w:tc>
        <w:tc>
          <w:tcPr>
            <w:tcW w:w="740" w:type="dxa"/>
            <w:vAlign w:val="bottom"/>
          </w:tcPr>
          <w:p>
            <w:pPr>
              <w:jc w:val="center"/>
              <w:ind w:right="154"/>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Industrial PPE and Other </w:t>
            </w:r>
            <w:r>
              <w:rPr>
                <w:rFonts w:ascii="Times New Roman" w:cs="Times New Roman" w:eastAsia="Times New Roman" w:hAnsi="Times New Roman"/>
                <w:sz w:val="23"/>
                <w:szCs w:val="23"/>
                <w:color w:val="auto"/>
                <w:vertAlign w:val="superscript"/>
              </w:rPr>
              <w:t>(c)</w:t>
            </w: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345,230</w:t>
            </w:r>
          </w:p>
        </w:tc>
        <w:tc>
          <w:tcPr>
            <w:tcW w:w="740" w:type="dxa"/>
            <w:vAlign w:val="bottom"/>
            <w:tcBorders>
              <w:bottom w:val="single" w:sz="8" w:color="auto"/>
            </w:tcBorders>
            <w:shd w:val="clear" w:color="auto" w:fill="CCEEFF"/>
          </w:tcPr>
          <w:p>
            <w:pPr>
              <w:jc w:val="center"/>
              <w:ind w:right="154"/>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239,253</w:t>
            </w:r>
          </w:p>
        </w:tc>
        <w:tc>
          <w:tcPr>
            <w:tcW w:w="800" w:type="dxa"/>
            <w:vAlign w:val="bottom"/>
            <w:tcBorders>
              <w:bottom w:val="single" w:sz="8" w:color="auto"/>
            </w:tcBorders>
            <w:shd w:val="clear" w:color="auto" w:fill="CCEEFF"/>
          </w:tcPr>
          <w:p>
            <w:pPr>
              <w:jc w:val="center"/>
              <w:ind w:right="94"/>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105,977</w:t>
            </w:r>
          </w:p>
        </w:tc>
        <w:tc>
          <w:tcPr>
            <w:tcW w:w="740" w:type="dxa"/>
            <w:vAlign w:val="bottom"/>
            <w:tcBorders>
              <w:bottom w:val="single" w:sz="8" w:color="auto"/>
            </w:tcBorders>
            <w:shd w:val="clear" w:color="auto" w:fill="CCEEFF"/>
          </w:tcPr>
          <w:p>
            <w:pPr>
              <w:jc w:val="center"/>
              <w:ind w:right="154"/>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6"/>
        </w:trPr>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1,363,900</w:t>
            </w:r>
          </w:p>
        </w:tc>
        <w:tc>
          <w:tcPr>
            <w:tcW w:w="740" w:type="dxa"/>
            <w:vAlign w:val="bottom"/>
          </w:tcPr>
          <w:p>
            <w:pPr>
              <w:jc w:val="center"/>
              <w:ind w:right="154"/>
              <w:spacing w:after="0"/>
              <w:rPr>
                <w:sz w:val="20"/>
                <w:szCs w:val="20"/>
                <w:color w:val="auto"/>
              </w:rPr>
            </w:pPr>
            <w:r>
              <w:rPr>
                <w:rFonts w:ascii="Times New Roman" w:cs="Times New Roman" w:eastAsia="Times New Roman" w:hAnsi="Times New Roman"/>
                <w:sz w:val="18"/>
                <w:szCs w:val="18"/>
                <w:color w:val="auto"/>
                <w:w w:val="99"/>
              </w:rPr>
              <w:t>100%</w:t>
            </w:r>
          </w:p>
        </w:tc>
        <w:tc>
          <w:tcPr>
            <w:tcW w:w="1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926,649</w:t>
            </w:r>
          </w:p>
        </w:tc>
        <w:tc>
          <w:tcPr>
            <w:tcW w:w="80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9"/>
              </w:rPr>
              <w:t>100%</w:t>
            </w:r>
          </w:p>
        </w:tc>
        <w:tc>
          <w:tcPr>
            <w:tcW w:w="1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437,251</w:t>
            </w:r>
          </w:p>
        </w:tc>
        <w:tc>
          <w:tcPr>
            <w:tcW w:w="740" w:type="dxa"/>
            <w:vAlign w:val="bottom"/>
          </w:tcPr>
          <w:p>
            <w:pPr>
              <w:jc w:val="center"/>
              <w:ind w:right="154"/>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0</wp:posOffset>
            </wp:positionV>
            <wp:extent cx="45688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2" w:lineRule="exact"/>
        <w:rPr>
          <w:sz w:val="20"/>
          <w:szCs w:val="20"/>
          <w:color w:val="auto"/>
        </w:rPr>
      </w:pPr>
    </w:p>
    <w:p>
      <w:pPr>
        <w:jc w:val="both"/>
        <w:ind w:left="260" w:right="40" w:hanging="5"/>
        <w:spacing w:after="0" w:line="235" w:lineRule="auto"/>
        <w:tabs>
          <w:tab w:leader="none" w:pos="435"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Detection includes Fixed Gas and Flame Detection and Portable Gas Detection. Detection includes sales from the M&amp;C TechGroup acquisition from May 6, 2025, onward (Americas and International) and sales from the Autronica Fire and Security acquisition from July 9, 2026 onward (Americas and International). Refer to Note 15—Acquisitions for further information.</w:t>
      </w:r>
    </w:p>
    <w:p>
      <w:pPr>
        <w:spacing w:after="0" w:line="2" w:lineRule="exact"/>
        <w:rPr>
          <w:rFonts w:ascii="Times New Roman" w:cs="Times New Roman" w:eastAsia="Times New Roman" w:hAnsi="Times New Roman"/>
          <w:sz w:val="23"/>
          <w:szCs w:val="23"/>
          <w:color w:val="auto"/>
          <w:vertAlign w:val="superscript"/>
        </w:rPr>
      </w:pPr>
    </w:p>
    <w:p>
      <w:pPr>
        <w:ind w:left="440" w:hanging="185"/>
        <w:spacing w:after="0" w:line="196" w:lineRule="auto"/>
        <w:tabs>
          <w:tab w:leader="none" w:pos="44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Fire Service includes Breathing Apparatus and Firefighter Helmets and Protective Apparel.</w:t>
      </w:r>
    </w:p>
    <w:p>
      <w:pPr>
        <w:spacing w:after="0" w:line="1" w:lineRule="exact"/>
        <w:rPr>
          <w:rFonts w:ascii="Times New Roman" w:cs="Times New Roman" w:eastAsia="Times New Roman" w:hAnsi="Times New Roman"/>
          <w:sz w:val="23"/>
          <w:szCs w:val="23"/>
          <w:color w:val="auto"/>
          <w:vertAlign w:val="superscript"/>
        </w:rPr>
      </w:pPr>
    </w:p>
    <w:p>
      <w:pPr>
        <w:ind w:left="420" w:hanging="165"/>
        <w:spacing w:after="0" w:line="203" w:lineRule="auto"/>
        <w:tabs>
          <w:tab w:leader="none" w:pos="42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Industrial PPE and Other includes Industrial Head Protection, Fall Protection and other.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10—Earnings per Share</w:t>
      </w:r>
    </w:p>
    <w:p>
      <w:pPr>
        <w:spacing w:after="0" w:line="175"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after the deduction of preferred stock dividends and undistributed earnings allocated to participating securities, by the weighted average number of common shares outstanding during the period. Diluted earnings per share assumes the issuance of common stock for all potentially dilutive share equivalents outstanding not classified as participating securities. Participating securities are defined as unvested stock-based compensation awards that contain nonforfeitable rights to dividends.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580" w:type="dxa"/>
            <w:vAlign w:val="bottom"/>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values)</w:t>
            </w: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4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58,396</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69,613</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215,859</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191,991</w:t>
            </w:r>
          </w:p>
        </w:tc>
        <w:tc>
          <w:tcPr>
            <w:tcW w:w="0" w:type="dxa"/>
            <w:vAlign w:val="bottom"/>
          </w:tcPr>
          <w:p>
            <w:pPr>
              <w:spacing w:after="0"/>
              <w:rPr>
                <w:sz w:val="1"/>
                <w:szCs w:val="1"/>
                <w:color w:val="auto"/>
              </w:rPr>
            </w:pPr>
          </w:p>
        </w:tc>
      </w:tr>
      <w:tr>
        <w:trPr>
          <w:trHeight w:val="243"/>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7"/>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equity</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58,386</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69,603</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215,829</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191,961</w:t>
            </w:r>
          </w:p>
        </w:tc>
        <w:tc>
          <w:tcPr>
            <w:tcW w:w="0" w:type="dxa"/>
            <w:vAlign w:val="bottom"/>
          </w:tcPr>
          <w:p>
            <w:pPr>
              <w:spacing w:after="0"/>
              <w:rPr>
                <w:sz w:val="1"/>
                <w:szCs w:val="1"/>
                <w:color w:val="auto"/>
              </w:rPr>
            </w:pPr>
          </w:p>
        </w:tc>
      </w:tr>
      <w:tr>
        <w:trPr>
          <w:trHeight w:val="243"/>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Dividends and undistributed earnings allocated to participating securities</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7"/>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58,380</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69,597</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215,808</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191,943</w:t>
            </w:r>
          </w:p>
        </w:tc>
        <w:tc>
          <w:tcPr>
            <w:tcW w:w="0" w:type="dxa"/>
            <w:vAlign w:val="bottom"/>
          </w:tcPr>
          <w:p>
            <w:pPr>
              <w:spacing w:after="0"/>
              <w:rPr>
                <w:sz w:val="1"/>
                <w:szCs w:val="1"/>
                <w:color w:val="auto"/>
              </w:rPr>
            </w:pPr>
          </w:p>
        </w:tc>
      </w:tr>
      <w:tr>
        <w:trPr>
          <w:trHeight w:val="391"/>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38,564</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39,168</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38,681</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39,253</w:t>
            </w: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awards</w:t>
            </w: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7"/>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38,647</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38,776</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39,380</w:t>
            </w: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shares</w:t>
            </w: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43"/>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11—Income Taxes</w:t>
      </w:r>
    </w:p>
    <w:p>
      <w:pPr>
        <w:spacing w:after="0" w:line="175"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September 30, 2026, was 28.7%, which differs from the United States of America ("U.S.") federal statutory rate of 21.0%, primarily due to state income taxes, increased profitability in high tax jurisdictions, settlement of foreign audits, and nondeductible transaction costs. The Company's effective tax rate for the three months ended September 30, 2025, was 24.7%, which differs from the U.S. federal statutory rate of 21.0%, primarily due to state income taxes and discrete expense booked in the third quarter of 2025 related to the filing of prior period tax returns.</w:t>
      </w:r>
    </w:p>
    <w:p>
      <w:pPr>
        <w:spacing w:after="0" w:line="129"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Company's effective tax rate for the nine months ended September 30, 2026, was 24.6%, which differs from the U.S. federal statutory rate of 21.0%, primarily due to state income taxes, increased profitability in high tax jurisdictions, and nondeductible transaction costs. The Company's effective tax rate for the nine months ended September 30, 2025, was 24.2%, which differs from the U.S. federal statutory rate of 21.0%, primarily due to state income taxes and nondeductible executive compensation.</w:t>
      </w:r>
    </w:p>
    <w:p>
      <w:pPr>
        <w:spacing w:after="0" w:line="126"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At September 30, 2026, the Company had a gross liability for unrecognized tax benefits of $4.3 million. The Company has recognized tax benefits associated with these liabilities of $1.5 million at September 30, 2026. The gross liability includes amounts associated with domestic and foreign tax exposure in prior periods.</w:t>
      </w:r>
    </w:p>
    <w:p>
      <w:pPr>
        <w:spacing w:after="0" w:line="122"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interest expense and operating expenses, respectively. The Company's liability for accrued interest related to uncertain tax positions was $0.6 million at September 30, 2026.</w:t>
      </w:r>
    </w:p>
    <w:p>
      <w:pPr>
        <w:spacing w:after="0" w:line="10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We are subject to regular review and audit by both foreign and domestic tax authorities. While we believe our tax positions will be sustained, the final outcome of tax audits and related litigation may differ materially from the tax amounts recorded in our unaudited condensed consolidated financial statements.</w:t>
      </w:r>
    </w:p>
    <w:p>
      <w:pPr>
        <w:spacing w:after="0" w:line="122"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On July 4, 2025, the U.S. enacted into law the One, Big, Beautiful Bill Act (“the Act”). The Act makes permanent key elements of the Tax Cuts and Jobs Act, including 100% bonus depreciation, domestic research cost expensing, and the business interest expense limitation. The Act has multiple effective dates, with certain provisions effective in 2025 and others implemented through 2027. The Act did not have a material impact on the financial statements for the nine months ended September 30, 2026.</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12—Stock Plans</w:t>
      </w:r>
    </w:p>
    <w:p>
      <w:pPr>
        <w:spacing w:after="0" w:line="175"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The 2023 Management Equity Incentive Plan and its predecessor, the 2016 Management Equity Incentive Plan, provide for various forms of stock-based compensation for eligible employees through, in the case of the 2023 Management Equity Incentive Plan, May 2033, including stock options, restricted stock awards, restricted stock units, and performance stock units. The 2024 Non-Employee Directors’ Equity Incentive Plan and its predecessor, the 2017 Non-Employee Directors’ Equity Incentive Plan, provide for grants of stock options and restricted stock to non-employee directors through, in the case of the 2024 Non-Employee Directors’ Equity Incentive Plan, May 2034. The 2014 MSA Employee Stock Purchase Plan (“ESPP”) permits eligible employees to purchase the Company's shares of common stock at a 15% discount from the fair market value, semi-annually, from the stock market. The ESPP is considered a compensatory plan. The discount is recorded as a component of selling, general and administrative expense in the Company's unaudited Condensed Consolidated Statements of Income.</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 compensation expense, included in Selling, general and administrative expense in the unaudited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640" w:type="dxa"/>
            <w:vAlign w:val="bottom"/>
            <w:gridSpan w:val="9"/>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19,260</w:t>
            </w:r>
          </w:p>
        </w:tc>
        <w:tc>
          <w:tcPr>
            <w:tcW w:w="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6"/>
              </w:rPr>
              <w:t>11,350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4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 net of tax</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14,657</w:t>
            </w:r>
          </w:p>
        </w:tc>
        <w:tc>
          <w:tcPr>
            <w:tcW w:w="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5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We have not capitalized any stock-based compensation expense.</w:t>
            </w: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8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rPr>
              <w:t>A summary of stock option activity for the nine months ended September 30, 2026, is as follows:</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3"/>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2026</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2,217</w:t>
            </w:r>
          </w:p>
        </w:tc>
        <w:tc>
          <w:tcPr>
            <w:tcW w:w="50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8"/>
              </w:rPr>
              <w:t>48.30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2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left="353"/>
              <w:spacing w:after="0"/>
              <w:rPr>
                <w:sz w:val="20"/>
                <w:szCs w:val="20"/>
                <w:color w:val="auto"/>
              </w:rPr>
            </w:pPr>
            <w:r>
              <w:rPr>
                <w:rFonts w:ascii="Times New Roman" w:cs="Times New Roman" w:eastAsia="Times New Roman" w:hAnsi="Times New Roman"/>
                <w:sz w:val="18"/>
                <w:szCs w:val="18"/>
                <w:color w:val="auto"/>
                <w:w w:val="98"/>
              </w:rPr>
              <w:t>45.80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exercisable at September 30, 2026</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1,514</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8"/>
              </w:rPr>
              <w:t>49.46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Restricted stock awards and restricted stock units are valued at the market value of the stock on the grant date. A summary of restricted stock activity for the nine months ended September 30, 2026,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7340" w:type="dxa"/>
            <w:vAlign w:val="bottom"/>
          </w:tcPr>
          <w:p>
            <w:pPr>
              <w:spacing w:after="0"/>
              <w:rPr>
                <w:sz w:val="12"/>
                <w:szCs w:val="12"/>
                <w:color w:val="auto"/>
              </w:rPr>
            </w:pPr>
          </w:p>
        </w:tc>
        <w:tc>
          <w:tcPr>
            <w:tcW w:w="118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5"/>
        </w:trPr>
        <w:tc>
          <w:tcPr>
            <w:tcW w:w="73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1"/>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January 1, 2026</w:t>
            </w:r>
          </w:p>
        </w:tc>
        <w:tc>
          <w:tcPr>
            <w:tcW w:w="1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168,387</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159.38</w:t>
            </w:r>
          </w:p>
        </w:tc>
        <w:tc>
          <w:tcPr>
            <w:tcW w:w="0" w:type="dxa"/>
            <w:vAlign w:val="bottom"/>
          </w:tcPr>
          <w:p>
            <w:pPr>
              <w:spacing w:after="0"/>
              <w:rPr>
                <w:sz w:val="1"/>
                <w:szCs w:val="1"/>
                <w:color w:val="auto"/>
              </w:rPr>
            </w:pPr>
          </w:p>
        </w:tc>
      </w:tr>
      <w:tr>
        <w:trPr>
          <w:trHeight w:val="24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187.15</w:t>
            </w:r>
          </w:p>
        </w:tc>
        <w:tc>
          <w:tcPr>
            <w:tcW w:w="0" w:type="dxa"/>
            <w:vAlign w:val="bottom"/>
          </w:tcPr>
          <w:p>
            <w:pPr>
              <w:spacing w:after="0"/>
              <w:rPr>
                <w:sz w:val="1"/>
                <w:szCs w:val="1"/>
                <w:color w:val="auto"/>
              </w:rPr>
            </w:pPr>
          </w:p>
        </w:tc>
      </w:tr>
      <w:tr>
        <w:trPr>
          <w:trHeight w:val="243"/>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(62,215)</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144.63</w:t>
            </w:r>
          </w:p>
        </w:tc>
        <w:tc>
          <w:tcPr>
            <w:tcW w:w="0" w:type="dxa"/>
            <w:vAlign w:val="bottom"/>
          </w:tcPr>
          <w:p>
            <w:pPr>
              <w:spacing w:after="0"/>
              <w:rPr>
                <w:sz w:val="1"/>
                <w:szCs w:val="1"/>
                <w:color w:val="auto"/>
              </w:rPr>
            </w:pPr>
          </w:p>
        </w:tc>
      </w:tr>
      <w:tr>
        <w:trPr>
          <w:trHeight w:val="24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(13,245)</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177.21</w:t>
            </w:r>
          </w:p>
        </w:tc>
        <w:tc>
          <w:tcPr>
            <w:tcW w:w="0" w:type="dxa"/>
            <w:vAlign w:val="bottom"/>
          </w:tcPr>
          <w:p>
            <w:pPr>
              <w:spacing w:after="0"/>
              <w:rPr>
                <w:sz w:val="1"/>
                <w:szCs w:val="1"/>
                <w:color w:val="auto"/>
              </w:rPr>
            </w:pPr>
          </w:p>
        </w:tc>
      </w:tr>
      <w:tr>
        <w:trPr>
          <w:trHeight w:val="236"/>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September 30, 2026</w:t>
            </w:r>
          </w:p>
        </w:tc>
        <w:tc>
          <w:tcPr>
            <w:tcW w:w="118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154,933</w:t>
            </w:r>
          </w:p>
        </w:tc>
        <w:tc>
          <w:tcPr>
            <w:tcW w:w="1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340" w:firstLine="445"/>
        <w:spacing w:after="0" w:line="261" w:lineRule="auto"/>
        <w:rPr>
          <w:sz w:val="20"/>
          <w:szCs w:val="20"/>
          <w:color w:val="auto"/>
        </w:rPr>
      </w:pPr>
      <w:r>
        <w:rPr>
          <w:rFonts w:ascii="Times New Roman" w:cs="Times New Roman" w:eastAsia="Times New Roman" w:hAnsi="Times New Roman"/>
          <w:sz w:val="18"/>
          <w:szCs w:val="18"/>
          <w:color w:val="auto"/>
        </w:rPr>
        <w:t>The final number of shares to be issued for performance stock units granted in the first quarter of 2026 may range from 0% to 200% of the target award based on achieving the specified performance targets over the performance period, including a relative TSR metric. Performance stock units that include a market condition are valued at an estimated fair value using a Monte Carlo model. The following weighted average assumptions were used in estimating the fair value of the performance stock units granted in the first quarter of 2026: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per unit</w:t>
            </w:r>
          </w:p>
        </w:tc>
        <w:tc>
          <w:tcPr>
            <w:tcW w:w="7580" w:type="dxa"/>
            <w:vAlign w:val="bottom"/>
            <w:shd w:val="clear" w:color="auto" w:fill="CCEEFF"/>
          </w:tcPr>
          <w:p>
            <w:pPr>
              <w:jc w:val="center"/>
              <w:ind w:left="5630"/>
              <w:spacing w:after="0"/>
              <w:rPr>
                <w:sz w:val="20"/>
                <w:szCs w:val="20"/>
                <w:color w:val="auto"/>
              </w:rPr>
            </w:pPr>
            <w:r>
              <w:rPr>
                <w:rFonts w:ascii="Times New Roman" w:cs="Times New Roman" w:eastAsia="Times New Roman" w:hAnsi="Times New Roman"/>
                <w:sz w:val="18"/>
                <w:szCs w:val="18"/>
                <w:color w:val="auto"/>
                <w:w w:val="99"/>
              </w:rPr>
              <w:t>$223.21</w:t>
            </w:r>
          </w:p>
        </w:tc>
        <w:tc>
          <w:tcPr>
            <w:tcW w:w="40" w:type="dxa"/>
            <w:vAlign w:val="bottom"/>
          </w:tcPr>
          <w:p>
            <w:pPr>
              <w:spacing w:after="0"/>
              <w:rPr>
                <w:sz w:val="21"/>
                <w:szCs w:val="2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580" w:type="dxa"/>
            <w:vAlign w:val="bottom"/>
          </w:tcPr>
          <w:p>
            <w:pPr>
              <w:jc w:val="center"/>
              <w:ind w:left="5630"/>
              <w:spacing w:after="0"/>
              <w:rPr>
                <w:sz w:val="20"/>
                <w:szCs w:val="20"/>
                <w:color w:val="auto"/>
              </w:rPr>
            </w:pPr>
            <w:r>
              <w:rPr>
                <w:rFonts w:ascii="Times New Roman" w:cs="Times New Roman" w:eastAsia="Times New Roman" w:hAnsi="Times New Roman"/>
                <w:sz w:val="18"/>
                <w:szCs w:val="18"/>
                <w:color w:val="auto"/>
                <w:w w:val="98"/>
              </w:rPr>
              <w:t>3.52%</w:t>
            </w:r>
          </w:p>
        </w:tc>
        <w:tc>
          <w:tcPr>
            <w:tcW w:w="40" w:type="dxa"/>
            <w:vAlign w:val="bottom"/>
          </w:tcPr>
          <w:p>
            <w:pPr>
              <w:spacing w:after="0"/>
              <w:rPr>
                <w:sz w:val="21"/>
                <w:szCs w:val="21"/>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7580" w:type="dxa"/>
            <w:vAlign w:val="bottom"/>
            <w:shd w:val="clear" w:color="auto" w:fill="CCEEFF"/>
          </w:tcPr>
          <w:p>
            <w:pPr>
              <w:jc w:val="center"/>
              <w:ind w:left="5630"/>
              <w:spacing w:after="0"/>
              <w:rPr>
                <w:sz w:val="20"/>
                <w:szCs w:val="20"/>
                <w:color w:val="auto"/>
              </w:rPr>
            </w:pPr>
            <w:r>
              <w:rPr>
                <w:rFonts w:ascii="Times New Roman" w:cs="Times New Roman" w:eastAsia="Times New Roman" w:hAnsi="Times New Roman"/>
                <w:sz w:val="18"/>
                <w:szCs w:val="18"/>
                <w:color w:val="auto"/>
                <w:w w:val="98"/>
              </w:rPr>
              <w:t>1.27%</w:t>
            </w:r>
          </w:p>
        </w:tc>
        <w:tc>
          <w:tcPr>
            <w:tcW w:w="40" w:type="dxa"/>
            <w:vAlign w:val="bottom"/>
          </w:tcPr>
          <w:p>
            <w:pPr>
              <w:spacing w:after="0"/>
              <w:rPr>
                <w:sz w:val="21"/>
                <w:szCs w:val="2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580" w:type="dxa"/>
            <w:vAlign w:val="bottom"/>
          </w:tcPr>
          <w:p>
            <w:pPr>
              <w:jc w:val="center"/>
              <w:ind w:left="5630"/>
              <w:spacing w:after="0"/>
              <w:rPr>
                <w:sz w:val="20"/>
                <w:szCs w:val="20"/>
                <w:color w:val="auto"/>
              </w:rPr>
            </w:pPr>
            <w:r>
              <w:rPr>
                <w:rFonts w:ascii="Times New Roman" w:cs="Times New Roman" w:eastAsia="Times New Roman" w:hAnsi="Times New Roman"/>
                <w:sz w:val="18"/>
                <w:szCs w:val="18"/>
                <w:color w:val="auto"/>
                <w:w w:val="98"/>
              </w:rPr>
              <w:t>23.2%</w:t>
            </w:r>
          </w:p>
        </w:tc>
        <w:tc>
          <w:tcPr>
            <w:tcW w:w="40" w:type="dxa"/>
            <w:vAlign w:val="bottom"/>
          </w:tcPr>
          <w:p>
            <w:pPr>
              <w:spacing w:after="0"/>
              <w:rPr>
                <w:sz w:val="21"/>
                <w:szCs w:val="21"/>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MSA stock beta</w:t>
            </w:r>
          </w:p>
        </w:tc>
        <w:tc>
          <w:tcPr>
            <w:tcW w:w="7580" w:type="dxa"/>
            <w:vAlign w:val="bottom"/>
            <w:shd w:val="clear" w:color="auto" w:fill="CCEEFF"/>
          </w:tcPr>
          <w:p>
            <w:pPr>
              <w:jc w:val="center"/>
              <w:ind w:left="5630"/>
              <w:spacing w:after="0"/>
              <w:rPr>
                <w:sz w:val="20"/>
                <w:szCs w:val="20"/>
                <w:color w:val="auto"/>
              </w:rPr>
            </w:pPr>
            <w:r>
              <w:rPr>
                <w:rFonts w:ascii="Times New Roman" w:cs="Times New Roman" w:eastAsia="Times New Roman" w:hAnsi="Times New Roman"/>
                <w:sz w:val="18"/>
                <w:szCs w:val="18"/>
                <w:color w:val="auto"/>
              </w:rPr>
              <w:t>0.725</w:t>
            </w:r>
          </w:p>
        </w:tc>
        <w:tc>
          <w:tcPr>
            <w:tcW w:w="40" w:type="dxa"/>
            <w:vAlign w:val="bottom"/>
          </w:tcPr>
          <w:p>
            <w:pPr>
              <w:spacing w:after="0"/>
              <w:rPr>
                <w:sz w:val="21"/>
                <w:szCs w:val="21"/>
                <w:color w:val="auto"/>
              </w:rPr>
            </w:pPr>
          </w:p>
        </w:tc>
      </w:tr>
      <w:tr>
        <w:trPr>
          <w:trHeight w:val="864"/>
        </w:trPr>
        <w:tc>
          <w:tcPr>
            <w:tcW w:w="3620" w:type="dxa"/>
            <w:vAlign w:val="bottom"/>
          </w:tcPr>
          <w:p>
            <w:pPr>
              <w:spacing w:after="0"/>
              <w:rPr>
                <w:sz w:val="24"/>
                <w:szCs w:val="24"/>
                <w:color w:val="auto"/>
              </w:rPr>
            </w:pPr>
          </w:p>
        </w:tc>
        <w:tc>
          <w:tcPr>
            <w:tcW w:w="7580" w:type="dxa"/>
            <w:vAlign w:val="bottom"/>
          </w:tcPr>
          <w:p>
            <w:pPr>
              <w:jc w:val="right"/>
              <w:ind w:right="5330"/>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24"/>
                <w:szCs w:val="24"/>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7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180" w:firstLine="445"/>
        <w:spacing w:after="0" w:line="289" w:lineRule="auto"/>
        <w:rPr>
          <w:sz w:val="20"/>
          <w:szCs w:val="20"/>
          <w:color w:val="auto"/>
        </w:rPr>
      </w:pPr>
      <w:r>
        <w:rPr>
          <w:rFonts w:ascii="Times New Roman" w:cs="Times New Roman" w:eastAsia="Times New Roman" w:hAnsi="Times New Roman"/>
          <w:sz w:val="17"/>
          <w:szCs w:val="17"/>
          <w:color w:val="auto"/>
        </w:rPr>
        <w:t>The risk-free interest rate is based on the U.S. Treasury Constant Maturity rates as of the grant date converted into an implied spot rate yield curve. Expected dividend yield is based on the most recent annualized dividend divided by the one-year average closing share price. Expected volatility is based on the three-year historical volatility preceding the grant date using daily stock prices. Expected life is based on historical stock option exercise data.</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performance stock unit activity for the nine months ended September 30, 2026,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6920" w:type="dxa"/>
            <w:vAlign w:val="bottom"/>
          </w:tcPr>
          <w:p>
            <w:pPr>
              <w:spacing w:after="0"/>
              <w:rPr>
                <w:sz w:val="12"/>
                <w:szCs w:val="12"/>
                <w:color w:val="auto"/>
              </w:rPr>
            </w:pPr>
          </w:p>
        </w:tc>
        <w:tc>
          <w:tcPr>
            <w:tcW w:w="132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0" w:type="dxa"/>
            <w:vAlign w:val="bottom"/>
          </w:tcPr>
          <w:p>
            <w:pPr>
              <w:jc w:val="center"/>
              <w:ind w:right="256"/>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January 1, 2026</w:t>
            </w:r>
          </w:p>
        </w:tc>
        <w:tc>
          <w:tcPr>
            <w:tcW w:w="1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153.00</w:t>
            </w: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217.74</w:t>
            </w:r>
          </w:p>
        </w:tc>
        <w:tc>
          <w:tcPr>
            <w:tcW w:w="0" w:type="dxa"/>
            <w:vAlign w:val="bottom"/>
          </w:tcPr>
          <w:p>
            <w:pPr>
              <w:spacing w:after="0"/>
              <w:rPr>
                <w:sz w:val="1"/>
                <w:szCs w:val="1"/>
                <w:color w:val="auto"/>
              </w:rPr>
            </w:pPr>
          </w:p>
        </w:tc>
      </w:tr>
      <w:tr>
        <w:trPr>
          <w:trHeight w:val="243"/>
        </w:trPr>
        <w:tc>
          <w:tcPr>
            <w:tcW w:w="824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Performance adjustments</w:t>
            </w:r>
            <w:r>
              <w:rPr>
                <w:rFonts w:ascii="Times New Roman" w:cs="Times New Roman" w:eastAsia="Times New Roman" w:hAnsi="Times New Roman"/>
                <w:sz w:val="23"/>
                <w:szCs w:val="23"/>
                <w:color w:val="auto"/>
                <w:vertAlign w:val="superscript"/>
              </w:rPr>
              <w:t>(a)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131.46</w:t>
            </w: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131.46</w:t>
            </w:r>
          </w:p>
        </w:tc>
        <w:tc>
          <w:tcPr>
            <w:tcW w:w="0" w:type="dxa"/>
            <w:vAlign w:val="bottom"/>
          </w:tcPr>
          <w:p>
            <w:pPr>
              <w:spacing w:after="0"/>
              <w:rPr>
                <w:sz w:val="1"/>
                <w:szCs w:val="1"/>
                <w:color w:val="auto"/>
              </w:rPr>
            </w:pPr>
          </w:p>
        </w:tc>
      </w:tr>
      <w:tr>
        <w:trPr>
          <w:trHeight w:val="24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192.21</w:t>
            </w:r>
          </w:p>
        </w:tc>
        <w:tc>
          <w:tcPr>
            <w:tcW w:w="0" w:type="dxa"/>
            <w:vAlign w:val="bottom"/>
          </w:tcPr>
          <w:p>
            <w:pPr>
              <w:spacing w:after="0"/>
              <w:rPr>
                <w:sz w:val="1"/>
                <w:szCs w:val="1"/>
                <w:color w:val="auto"/>
              </w:rPr>
            </w:pPr>
          </w:p>
        </w:tc>
      </w:tr>
      <w:tr>
        <w:trPr>
          <w:trHeight w:val="23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September 30, 2026</w:t>
            </w:r>
          </w:p>
        </w:tc>
        <w:tc>
          <w:tcPr>
            <w:tcW w:w="1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139,101</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187.70</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20" w:right="80" w:firstLine="6"/>
        <w:spacing w:after="0"/>
        <w:tabs>
          <w:tab w:leader="none" w:pos="179"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Performance adjustments relate primarily to the final number of shares issued for the 2023 performance unit awards which vested in the first quarter of 2026 at 180% of the target award based on both cumulative performance against EBITDA margin and revenue growth targets and MSA's total shareholder return during the three-year performance period.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13—Long-Term Debt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1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00" w:type="dxa"/>
            <w:vAlign w:val="bottom"/>
          </w:tcPr>
          <w:p>
            <w:pPr>
              <w:spacing w:after="0"/>
              <w:rPr>
                <w:sz w:val="16"/>
                <w:szCs w:val="16"/>
                <w:color w:val="auto"/>
              </w:rPr>
            </w:pPr>
          </w:p>
        </w:tc>
        <w:tc>
          <w:tcPr>
            <w:tcW w:w="18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6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2016 Senior Notes payable through 2031, 3.40%, net of debt issuance costs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49,278</w:t>
            </w:r>
          </w:p>
        </w:tc>
      </w:tr>
      <w:tr>
        <w:trPr>
          <w:trHeight w:val="263"/>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 Senior Notes payable through 2036, 2.69%, net of debt issuance costs</w:t>
            </w:r>
          </w:p>
        </w:tc>
        <w:tc>
          <w:tcPr>
            <w:tcW w:w="28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99,792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99,776</w:t>
            </w:r>
          </w:p>
        </w:tc>
      </w:tr>
      <w:tr>
        <w:trPr>
          <w:trHeight w:val="277"/>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Senior Notes payable through 2036, 2.69%, net of debt issuance costs</w:t>
            </w:r>
          </w:p>
        </w:tc>
        <w:tc>
          <w:tcPr>
            <w:tcW w:w="280" w:type="dxa"/>
            <w:vAlign w:val="bottom"/>
            <w:shd w:val="clear" w:color="auto" w:fill="CCEEFF"/>
          </w:tcPr>
          <w:p>
            <w:pPr>
              <w:spacing w:after="0"/>
              <w:rPr>
                <w:sz w:val="24"/>
                <w:szCs w:val="24"/>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99,792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99,776</w:t>
            </w:r>
          </w:p>
        </w:tc>
      </w:tr>
      <w:tr>
        <w:trPr>
          <w:trHeight w:val="243"/>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revolving credit facility maturing in 2030, net of debt issuance costs</w:t>
            </w: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282,137</w:t>
            </w:r>
          </w:p>
        </w:tc>
      </w:tr>
      <w:tr>
        <w:trPr>
          <w:trHeight w:val="24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Senior Notes payable through 2028, 5.25%, net of debt issuance costs</w:t>
            </w:r>
          </w:p>
        </w:tc>
        <w:tc>
          <w:tcPr>
            <w:tcW w:w="28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49,976</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49,967</w:t>
            </w:r>
          </w:p>
        </w:tc>
      </w:tr>
      <w:tr>
        <w:trPr>
          <w:trHeight w:val="237"/>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1,121,206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580,934</w:t>
            </w:r>
          </w:p>
        </w:tc>
      </w:tr>
      <w:tr>
        <w:trPr>
          <w:trHeight w:val="24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due within one year</w:t>
            </w:r>
          </w:p>
        </w:tc>
        <w:tc>
          <w:tcPr>
            <w:tcW w:w="28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33,098</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w:t>
            </w:r>
          </w:p>
        </w:tc>
      </w:tr>
      <w:tr>
        <w:trPr>
          <w:trHeight w:val="237"/>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debt issuance costs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1,088,108</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572,709</w:t>
            </w:r>
          </w:p>
        </w:tc>
      </w:tr>
    </w:tbl>
    <w:p>
      <w:pPr>
        <w:spacing w:after="0" w:line="225"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On April 1, 2025, the Company entered into a Fifth Amended and Restated Credit Agreement (the “Revolving Credit Facility” or “Facility”) with a capacity of $1.3 billion. Under the amended agreement, the Company may elect either a Base rate of interest (“BASE”) or an interest rate based on Secured Overnight Financing Rate (“SOFR”). The BASE is a daily fluctuating per annum rate equal to the highest of (i) the Overnight Bank Funding Rate, plus 0.5%, (ii) the Prime Rate, and (iii) the Daily Simple SOFR rate, plus 1.00%. The Company pays a credit spread of 0 to 175 basis points based on the Company’s net leverage ratio and elected rate (BASE or SOFR). The Company has a weighted average revolver interest rate of 4.78% as of September 30, 2026. At September 30, 2026, $465.0 million of the existing $1.3 billion revolving credit facility was unused, including letters of credit issued under the facility. The facility also provides an accordion feature that allows the Company to access an additional $500.0 million of capacity pending approval by MSA’s board of directors and from the bank group.</w:t>
      </w:r>
    </w:p>
    <w:p>
      <w:pPr>
        <w:spacing w:after="0" w:line="138"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On July 1, 2024, the Company entered into Amendment No. 3 to the Third Amended and Restated Multi-Currency Note Purchase and Private Shelf Agreement (the “Prudential Note Agreement”) with PGIM, Inc. (“Prudential”). The Prudential Note Agreement provided for (i) the issuance of</w:t>
      </w:r>
    </w:p>
    <w:p>
      <w:pPr>
        <w:ind w:right="40"/>
        <w:spacing w:after="0" w:line="253" w:lineRule="auto"/>
        <w:rPr>
          <w:sz w:val="20"/>
          <w:szCs w:val="20"/>
          <w:color w:val="auto"/>
        </w:rPr>
      </w:pPr>
      <w:r>
        <w:rPr>
          <w:rFonts w:ascii="Times New Roman" w:cs="Times New Roman" w:eastAsia="Times New Roman" w:hAnsi="Times New Roman"/>
          <w:sz w:val="18"/>
          <w:szCs w:val="18"/>
          <w:color w:val="auto"/>
        </w:rPr>
        <w:t>$100.0 million of 2.69% Series C Senior Notes due July 1, 2036, and (ii) the establishment of an uncommitted note issuance facility whereby the Company may request, subject to Prudential’s acceptance in its sole discretion, the issuance of up to $335.0 million aggregate principal amount of senior unsecured notes. As of September 30, 2026, the Company has outstanding £30.5 million (approximately $40.5 million at September 30, 2026) of 3.4% Series B Senior Notes due January 22, 2031. Remaining maturities of this note are £6.1 million (approximately $8.1 million at September 30, 2026) due annually through January 2031.</w:t>
      </w:r>
    </w:p>
    <w:p>
      <w:pPr>
        <w:spacing w:after="0" w:line="133"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On July 1, 2024, the Company entered into Amendment No. 3 to the Second Amended and Restated Master Note Facility (the “NYL Note Facility”) with NYL Investors. The NYL Note Facility provided for (i) the issuance of $100.0 million of 2.69% Series A Senior Notes due July 1, 2036, and (ii) the establishment of an uncommitted note issuance facility whereby the Company may request, subject to NYL Investors’ acceptance in its sole discretion, the issuance of up to $200.0 million aggregate principal amount of senior unsecured notes.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firstLine="405"/>
        <w:spacing w:after="0" w:line="312" w:lineRule="auto"/>
        <w:rPr>
          <w:sz w:val="20"/>
          <w:szCs w:val="20"/>
          <w:color w:val="auto"/>
        </w:rPr>
      </w:pPr>
      <w:r>
        <w:rPr>
          <w:rFonts w:ascii="Times New Roman" w:cs="Times New Roman" w:eastAsia="Times New Roman" w:hAnsi="Times New Roman"/>
          <w:sz w:val="17"/>
          <w:szCs w:val="17"/>
          <w:color w:val="auto"/>
        </w:rPr>
        <w:t>Coincident with the amendment to the Revolving Credit Facility on April 1, 2025, the Company entered into Amendment No. 4 to the Prudential Note Agreement and Amendment No. 4 to the NYL Note Facility, in each case to conform to the changes made in the Amended Revolving Credit Facility.</w:t>
      </w:r>
    </w:p>
    <w:p>
      <w:pPr>
        <w:spacing w:after="0" w:line="8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On June 29, 2023, the Company issued $50 million of 5.25% Series B Senior Notes due July 1, 2028, pursuant to the NYL Note Facility (the “Notes”). The Notes bear interest at 5.25% per annum, payable semi-annually, and mature on July 1, 2028. The Notes provide for a principal payment of $25 million on July 1, 2027, with the remaining $25 million due on July 1, 2028. The Notes may be redeemed at the Company’s option prior to their maturity at a make-whole redemption price calculated as provided in the NYL Note Facility. The proceeds of the Notes were used on June 29, 2023, to pay down an equivalent amount of borrowings under the Company’s Revolving Credit Facility with PNC Bank, National Association, as Administrative Agent.</w:t>
      </w:r>
    </w:p>
    <w:p>
      <w:pPr>
        <w:spacing w:after="0" w:line="129"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The Revolving Credit Facility, Prudential Note Agreement, and NYL Note Facility require the Company to comply with specified financial covenants, including a requirement to maintain a minimum fixed charges coverage ratio of not less than 1.50 to 1.00, and a consolidated leverage ratio not to exceed 3.50 to 1.00; except during an acquisition period, defined as four consecutive fiscal quarters beginning with the quarter of acquisition, in which case the consolidated net leverage ratio shall not exceed 4.00 to 1.00; in each case calculated on the basis of the trailing four fiscal quarters. In addition, the agreements contain negative covenants, limiting the ability of the Company and its subsidiaries to incur additional indebtedness or issue guarantees, create or incur liens, make loans and investments, make acquisitions, transfer or sell assets, enter into transactions with affiliated parties, make changes in its organizational documents that are materially adverse to lenders or modify the nature of the Company's or its subsidiaries' business.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2026, the Company was in full compliance with the restrictive covenants under its various credit agreements.</w:t>
      </w:r>
    </w:p>
    <w:p>
      <w:pPr>
        <w:spacing w:after="0" w:line="171"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The Company had outstanding bank guarantees and standby letters of credit with banks as of September 30, 2026, totaling $19.4 million, of which $1.5 million relate to the Revolving Credit Facility. The guarantees and letters of credit serve to cover customer requirements in connection with certain sales orders as well as vendor requirements. The Company is also required to provide cash collateral in connection with certain arrangements. As of September 30, 2026, the Company has $1.2 million of restricted cash in support of these arrangements.</w:t>
      </w:r>
    </w:p>
    <w:p>
      <w:pPr>
        <w:spacing w:after="0" w:line="126"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On July 9, 2026, the Company acquired Autronica Fire and Security ("Autronica") in a transaction valued at approximately $563 million, net of cash acquired. The acquisition was funded through a combination of cash on hand and borrowings under our existing credit facility. Refer to Note 15— Acquisitions for further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14—Goodwill and Intangible Assets, Net</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goodwill during the nine months ended September 30, 2026,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16"/>
                <w:szCs w:val="16"/>
                <w:color w:val="auto"/>
              </w:rPr>
            </w:pPr>
          </w:p>
        </w:tc>
        <w:tc>
          <w:tcPr>
            <w:tcW w:w="166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Goodwill</w:t>
            </w:r>
          </w:p>
        </w:tc>
      </w:tr>
      <w:tr>
        <w:trPr>
          <w:trHeight w:val="23"/>
        </w:trPr>
        <w:tc>
          <w:tcPr>
            <w:tcW w:w="9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6"/>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731,592</w:t>
            </w:r>
          </w:p>
        </w:tc>
      </w:tr>
      <w:tr>
        <w:trPr>
          <w:trHeight w:val="243"/>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(Note 15)</w:t>
            </w:r>
          </w:p>
        </w:tc>
        <w:tc>
          <w:tcPr>
            <w:tcW w:w="4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316,571</w:t>
            </w:r>
          </w:p>
        </w:tc>
      </w:tr>
      <w:tr>
        <w:trPr>
          <w:trHeight w:val="243"/>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44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w:t>
            </w:r>
          </w:p>
        </w:tc>
      </w:tr>
      <w:tr>
        <w:trPr>
          <w:trHeight w:val="236"/>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1,044,108</w:t>
            </w: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September 30, 2026, goodwill of $528.9 million and $515.2 million related to the Americas and International reportable segments, respectively.</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Changes in intangible assets, net, during the nine months ended September 30, 2026,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7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Intangible Assets</w:t>
            </w:r>
          </w:p>
        </w:tc>
      </w:tr>
      <w:tr>
        <w:trPr>
          <w:trHeight w:val="23"/>
        </w:trPr>
        <w:tc>
          <w:tcPr>
            <w:tcW w:w="9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balance at January 1, 2026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299,127</w:t>
            </w:r>
          </w:p>
        </w:tc>
      </w:tr>
      <w:tr>
        <w:trPr>
          <w:trHeight w:val="243"/>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(Note 15)</w:t>
            </w:r>
          </w:p>
        </w:tc>
        <w:tc>
          <w:tcPr>
            <w:tcW w:w="3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278,470</w:t>
            </w:r>
          </w:p>
        </w:tc>
      </w:tr>
      <w:tr>
        <w:trPr>
          <w:trHeight w:val="243"/>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(20,018)</w:t>
            </w:r>
          </w:p>
        </w:tc>
      </w:tr>
      <w:tr>
        <w:trPr>
          <w:trHeight w:val="243"/>
        </w:trPr>
        <w:tc>
          <w:tcPr>
            <w:tcW w:w="9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3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237"/>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balance at September 30, 2026</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558,574</w:t>
            </w:r>
          </w:p>
        </w:tc>
      </w:tr>
    </w:tbl>
    <w:p>
      <w:pPr>
        <w:spacing w:after="0" w:line="198"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At September 30, 2026, intangible assets, net, includes a trade name related to Globe Manufacturing Company, LLC (“Globe”) with an indefinite life totaling $60.0 million.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15—Acquisitions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Autronica</w:t>
      </w:r>
    </w:p>
    <w:p>
      <w:pPr>
        <w:spacing w:after="0" w:line="175"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On July 9, 2026, the Company acquired 100% of the common stock of Autronica in an all-cash transaction valued at approximately $563 million, net of cash acquired.</w:t>
      </w:r>
    </w:p>
    <w:p>
      <w:pPr>
        <w:spacing w:after="0" w:line="108" w:lineRule="exact"/>
        <w:rPr>
          <w:sz w:val="20"/>
          <w:szCs w:val="20"/>
          <w:color w:val="auto"/>
        </w:rPr>
      </w:pPr>
    </w:p>
    <w:p>
      <w:pPr>
        <w:ind w:right="620" w:firstLine="405"/>
        <w:spacing w:after="0" w:line="266" w:lineRule="auto"/>
        <w:rPr>
          <w:sz w:val="20"/>
          <w:szCs w:val="20"/>
          <w:color w:val="auto"/>
        </w:rPr>
      </w:pPr>
      <w:r>
        <w:rPr>
          <w:rFonts w:ascii="Times New Roman" w:cs="Times New Roman" w:eastAsia="Times New Roman" w:hAnsi="Times New Roman"/>
          <w:sz w:val="18"/>
          <w:szCs w:val="18"/>
          <w:color w:val="auto"/>
        </w:rPr>
        <w:t>Headquartered in Trondheim, Norway, Autronica is a designer, manufacturer, and supplier of fire detection, gas detection, and alarm systems. Autronica's products and systems are used in a wide range of industries including maritime, oil and gas, infrastructure, and industrial sectors. The acquisition expands the Company’s fire and gas detection capabilities and global market presence.</w:t>
      </w:r>
    </w:p>
    <w:p>
      <w:pPr>
        <w:spacing w:after="0" w:line="12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Autronica’s operating results are included in our consolidated financial statements from the acquisition date within the Americas and International reportable segments. The acquisition qualified as a business combination and was accounted for using the acquisition method of accounting, which requires recording assets and liabilities at fair value (Level 3).</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fair values of the Autronica assets acquired and liabilities assumed at the date of the acquisition: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July 9, 2026</w:t>
            </w:r>
          </w:p>
        </w:tc>
      </w:tr>
      <w:tr>
        <w:trPr>
          <w:trHeight w:val="243"/>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43"/>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4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43"/>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43"/>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43"/>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43"/>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r>
      <w:tr>
        <w:trPr>
          <w:trHeight w:val="243"/>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4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43"/>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4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43"/>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r>
      <w:tr>
        <w:trPr>
          <w:trHeight w:val="236"/>
        </w:trPr>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 acquired</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703.1</w:t>
            </w:r>
          </w:p>
        </w:tc>
      </w:tr>
      <w:tr>
        <w:trPr>
          <w:trHeight w:val="243"/>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4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43"/>
        </w:trPr>
        <w:tc>
          <w:tcPr>
            <w:tcW w:w="9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36"/>
        </w:trPr>
        <w:tc>
          <w:tcPr>
            <w:tcW w:w="9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237"/>
        </w:trPr>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assets acquired</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571.6</w:t>
            </w:r>
          </w:p>
        </w:tc>
      </w:tr>
    </w:tbl>
    <w:p>
      <w:pPr>
        <w:spacing w:after="0" w:line="238"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2026, the purchase accounting for Autronica is subject to change upon completion of the valuation of the assets acquired and liabilities assumed, primarily for review of tax balances, valuation of intangible assets and allocation of goodwill.</w:t>
      </w:r>
    </w:p>
    <w:p>
      <w:pPr>
        <w:spacing w:after="0" w:line="108"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18"/>
          <w:szCs w:val="18"/>
          <w:color w:val="auto"/>
        </w:rPr>
        <w:t>Assets acquired and liabilities assumed in connection with the acquisition were recorded at their fair values. Fair values were determined by management, based in part on an independent valuation performed by a third-party valuation specialist. The valuation methods used to determine the fair value of intangible assets included the excess earnings approach for customer relationships using customer inputs and contributory charges; the relief from royalty method for trade name and developed technology and the cost approach for assembled workforce, which is included in goodwill. Assumptions and estimates were involved in the application of these valuation methods, including forecasted sales volumes and prices, royalty rates, costs to produce, tax rates and amortization tax benefits, capital spending, discount rates, customer attrition rates, technology obsolescence assumptions, and working capital changes. Cash flow forecasts were generally based on Autronica pre-acquisition forecasts. Identifiable intangible assets with finite lives are subject to amortization over their estimated useful lives. The customer relationships, developed technology, and trade name acquired in the Autronica transaction are being amortized over periods of 20 years, 15 years, and 15 years, respectively. Estimated future amortization expense related to the identifiable intangible assets is approximately $4 million for the remainder of 2026, approximately $15 million annually for 2027 through 2030, and $209 million thereafter.</w:t>
      </w:r>
    </w:p>
    <w:p>
      <w:pPr>
        <w:spacing w:after="0" w:line="140" w:lineRule="exact"/>
        <w:rPr>
          <w:sz w:val="20"/>
          <w:szCs w:val="20"/>
          <w:color w:val="auto"/>
        </w:rPr>
      </w:pPr>
    </w:p>
    <w:p>
      <w:pPr>
        <w:jc w:val="both"/>
        <w:ind w:right="360" w:firstLine="405"/>
        <w:spacing w:after="0" w:line="266" w:lineRule="auto"/>
        <w:rPr>
          <w:sz w:val="20"/>
          <w:szCs w:val="20"/>
          <w:color w:val="auto"/>
        </w:rPr>
      </w:pPr>
      <w:r>
        <w:rPr>
          <w:rFonts w:ascii="Times New Roman" w:cs="Times New Roman" w:eastAsia="Times New Roman" w:hAnsi="Times New Roman"/>
          <w:sz w:val="18"/>
          <w:szCs w:val="18"/>
          <w:color w:val="auto"/>
        </w:rPr>
        <w:t>Goodwill was calculated as the excess of the purchase price over the fair value of net assets acquired and represents the future economic benefits arising from other assets acquired that could not be individually identified and separately recognized. Among the factors that contributed to a purchase price in excess of the fair value of the net tangible and intangible assets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acquired were the acquisition of an assembled workforce, the expected synergies and other benefits that we believe will result from combining the operations of Autronica with our operations. Goodwill of $316.6 million related to the Autronica acquisition was recorded, with $269.1 million and $47.5 million allocated to the International and Americas reportable segments, respectively. This goodwill is nondeductible for tax purposes.</w:t>
      </w:r>
    </w:p>
    <w:p>
      <w:pPr>
        <w:spacing w:after="0" w:line="122"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Our results for the three and nine months ended September 30, 2026, include strategic acquisition costs of $11.8 million and $15.7 million, respectively, including costs related to the Autronica acquisition. Our results for the three and nine months ended September 30, 2025, include $1.9 million and $10.0 million, respectively, of strategic acquisition costs. These costs are reported in selling, general, and administrative expenses.</w:t>
      </w:r>
    </w:p>
    <w:p>
      <w:pPr>
        <w:spacing w:after="0" w:line="122"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Our results for the three and nine months ended September 30, 2026, include sales and net loss of $39.5 million and $6.0 million, respectively, attributable to this acquisition. The net loss attributable to the Autronica acquisition excludes certain acquisition-related costs incurred and recorded by MSA outside of the acquired entities, which are included in the strategic acquisition costs described above.</w:t>
      </w:r>
    </w:p>
    <w:p>
      <w:pPr>
        <w:spacing w:after="0" w:line="122"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information presents our combined results as if MSA's acquisitions of Autronica in 2026 and M&amp;C during 2025 had occurred on January 1, 2025. The unaudited pro forma financial information was prepared to give effect to events that are (1) directly attributable to the acquisitions; (2) factually supportable; and (3) expected to have a continuing impact on the combined company's results. There were no material transactions between MSA and the acquired businesses during the periods presented that are required to be eliminated in the unaudited pro forma condensed combined financial information. The unaudited pro forma condensed combined financial information does not reflect any cost savings, operating synergies, or revenue enhancements that the combined companies may achieve as a result of the acquisition or the costs to integrate the operations or the costs necessary to achieve cost savings, operating synergies, or revenue enhancements.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114300</wp:posOffset>
            </wp:positionV>
            <wp:extent cx="46977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97730" cy="8255"/>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gridSpan w:val="3"/>
          </w:tcPr>
          <w:p>
            <w:pPr>
              <w:jc w:val="right"/>
              <w:ind w:right="10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3520" w:type="dxa"/>
            <w:vAlign w:val="bottom"/>
            <w:gridSpan w:val="3"/>
          </w:tcPr>
          <w:p>
            <w:pPr>
              <w:jc w:val="right"/>
              <w:ind w:right="115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3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0"/>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23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1,588.9</w:t>
            </w:r>
          </w:p>
        </w:tc>
        <w:tc>
          <w:tcPr>
            <w:tcW w:w="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1,493.7</w:t>
            </w: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r>
      <w:tr>
        <w:trPr>
          <w:trHeight w:val="24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80" w:type="dxa"/>
            <w:vAlign w:val="bottom"/>
            <w:shd w:val="clear" w:color="auto" w:fill="BFE4FF"/>
          </w:tcPr>
          <w:p>
            <w:pPr>
              <w:spacing w:after="0"/>
              <w:rPr>
                <w:sz w:val="21"/>
                <w:szCs w:val="21"/>
                <w:color w:val="auto"/>
              </w:rPr>
            </w:pPr>
          </w:p>
        </w:tc>
        <w:tc>
          <w:tcPr>
            <w:tcW w:w="16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shd w:val="clear" w:color="auto" w:fill="BFE4FF"/>
          </w:tcPr>
          <w:p>
            <w:pPr>
              <w:spacing w:after="0"/>
              <w:rPr>
                <w:sz w:val="21"/>
                <w:szCs w:val="21"/>
                <w:color w:val="auto"/>
              </w:rPr>
            </w:pPr>
          </w:p>
        </w:tc>
        <w:tc>
          <w:tcPr>
            <w:tcW w:w="16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shd w:val="clear" w:color="auto" w:fill="BFE4FF"/>
          </w:tcPr>
          <w:p>
            <w:pPr>
              <w:spacing w:after="0"/>
              <w:rPr>
                <w:sz w:val="21"/>
                <w:szCs w:val="21"/>
                <w:color w:val="auto"/>
              </w:rPr>
            </w:pPr>
          </w:p>
        </w:tc>
        <w:tc>
          <w:tcPr>
            <w:tcW w:w="16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00" w:type="dxa"/>
            <w:vAlign w:val="bottom"/>
            <w:shd w:val="clear" w:color="auto" w:fill="BFE4FF"/>
          </w:tcPr>
          <w:p>
            <w:pPr>
              <w:spacing w:after="0"/>
              <w:rPr>
                <w:sz w:val="21"/>
                <w:szCs w:val="21"/>
                <w:color w:val="auto"/>
              </w:rPr>
            </w:pPr>
          </w:p>
        </w:tc>
        <w:tc>
          <w:tcPr>
            <w:tcW w:w="16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r>
    </w:tbl>
    <w:p>
      <w:pPr>
        <w:spacing w:after="0" w:line="238"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presented for informational purposes only and is not intended to represent or be indicative of the combined results of operations or financial position that we would have reported had the acquisition been completed as of the date and for the periods presented, and should not be taken as representative of our unaudited condensed consolidated results of operations or financial condition following the acquisition. In addition, the unaudited pro forma condensed combined financial information is not intended to project the future financial position or result of operations of the combined company.</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was prepared using the acquisition method of accounting under existing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MSA has been treated as the acquirer.</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16—Pensions and Other Post-retirement Benefits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Components of Net periodic benefit (income) cost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2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4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4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4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(12,418)</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(12,005)</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Recognized net actuarial losses</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7"/>
        </w:trPr>
        <w:tc>
          <w:tcPr>
            <w:tcW w:w="428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Net periodic benefit (income) cost </w:t>
            </w:r>
            <w:r>
              <w:rPr>
                <w:rFonts w:ascii="Times New Roman" w:cs="Times New Roman" w:eastAsia="Times New Roman" w:hAnsi="Times New Roman"/>
                <w:sz w:val="23"/>
                <w:szCs w:val="23"/>
                <w:color w:val="auto"/>
                <w:vertAlign w:val="superscript"/>
              </w:rPr>
              <w:t>(a)</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14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4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4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50"/>
        </w:trPr>
        <w:tc>
          <w:tcPr>
            <w:tcW w:w="4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14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14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17,346</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17,912</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(37,254)</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(36,015)</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net actuarial losses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8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4"/>
        </w:trPr>
        <w:tc>
          <w:tcPr>
            <w:tcW w:w="4280" w:type="dxa"/>
            <w:vAlign w:val="bottom"/>
          </w:tcPr>
          <w:p>
            <w:pPr>
              <w:ind w:left="20"/>
              <w:spacing w:after="0" w:line="254" w:lineRule="exact"/>
              <w:rPr>
                <w:sz w:val="20"/>
                <w:szCs w:val="20"/>
                <w:color w:val="auto"/>
              </w:rPr>
            </w:pPr>
            <w:r>
              <w:rPr>
                <w:rFonts w:ascii="Times New Roman" w:cs="Times New Roman" w:eastAsia="Times New Roman" w:hAnsi="Times New Roman"/>
                <w:sz w:val="18"/>
                <w:szCs w:val="18"/>
                <w:color w:val="auto"/>
              </w:rPr>
              <w:t xml:space="preserve">Net periodic benefit (income) cost </w:t>
            </w:r>
            <w:r>
              <w:rPr>
                <w:rFonts w:ascii="Times New Roman" w:cs="Times New Roman" w:eastAsia="Times New Roman" w:hAnsi="Times New Roman"/>
                <w:sz w:val="23"/>
                <w:szCs w:val="23"/>
                <w:color w:val="auto"/>
                <w:vertAlign w:val="superscript"/>
              </w:rPr>
              <w:t>(a)</w:t>
            </w: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(13,134)</w:t>
            </w:r>
          </w:p>
        </w:tc>
        <w:tc>
          <w:tcPr>
            <w:tcW w:w="140" w:type="dxa"/>
            <w:vAlign w:val="bottom"/>
          </w:tcPr>
          <w:p>
            <w:pPr>
              <w:spacing w:after="0"/>
              <w:rPr>
                <w:sz w:val="22"/>
                <w:szCs w:val="22"/>
                <w:color w:val="auto"/>
              </w:rPr>
            </w:pPr>
          </w:p>
        </w:tc>
        <w:tc>
          <w:tcPr>
            <w:tcW w:w="5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(10,681)</w:t>
            </w:r>
          </w:p>
        </w:tc>
        <w:tc>
          <w:tcPr>
            <w:tcW w:w="140" w:type="dxa"/>
            <w:vAlign w:val="bottom"/>
          </w:tcPr>
          <w:p>
            <w:pPr>
              <w:spacing w:after="0"/>
              <w:rPr>
                <w:sz w:val="22"/>
                <w:szCs w:val="22"/>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40" w:type="dxa"/>
            <w:vAlign w:val="bottom"/>
          </w:tcPr>
          <w:p>
            <w:pPr>
              <w:spacing w:after="0"/>
              <w:rPr>
                <w:sz w:val="22"/>
                <w:szCs w:val="22"/>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-10160</wp:posOffset>
            </wp:positionV>
            <wp:extent cx="44234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ind w:left="20" w:right="140" w:firstLine="6"/>
        <w:spacing w:after="0" w:line="232" w:lineRule="auto"/>
        <w:tabs>
          <w:tab w:leader="none" w:pos="179"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Components of Net periodic benefit (income) cost other than service cost are included in the line item Other income, net, and service costs are included in the line items Cost of products sold and Selling, general and administrative in the unaudited Condensed Consolidated Statements of Income.</w:t>
      </w:r>
    </w:p>
    <w:p>
      <w:pPr>
        <w:spacing w:after="0" w:line="280" w:lineRule="exact"/>
        <w:rPr>
          <w:sz w:val="20"/>
          <w:szCs w:val="20"/>
          <w:color w:val="auto"/>
        </w:rPr>
      </w:pPr>
    </w:p>
    <w:p>
      <w:pPr>
        <w:ind w:right="280" w:firstLine="445"/>
        <w:spacing w:after="0" w:line="266" w:lineRule="auto"/>
        <w:rPr>
          <w:sz w:val="20"/>
          <w:szCs w:val="20"/>
          <w:color w:val="auto"/>
        </w:rPr>
      </w:pPr>
      <w:r>
        <w:rPr>
          <w:rFonts w:ascii="Times New Roman" w:cs="Times New Roman" w:eastAsia="Times New Roman" w:hAnsi="Times New Roman"/>
          <w:sz w:val="18"/>
          <w:szCs w:val="18"/>
          <w:color w:val="auto"/>
        </w:rPr>
        <w:t>We made contributions of $6.7 million and $5.7 million to our pension plans during the nine months ended September 30, 2026, and 2025, respectively. We expect to make net contributions between $8 million and $10 million to our pension plans in 2026, which are primarily associated with statutorily required plans in the International reporting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17—Derivative Financial Instruments</w:t>
      </w:r>
    </w:p>
    <w:p>
      <w:pPr>
        <w:spacing w:after="0" w:line="175"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As part of our currency exchange rate risk management strategy, we enter into certain derivative foreign currency forward contracts that do not meet the U.S. GAAP criteria for hedge accounting, but have the impact of partially offsetting certain foreign currency exposures. We account for these forward contracts at fair value and report the related gains or losses in currency exchange losses, net, in the unaudited Condensed Consolidated Statements of Income. The notional amount of open forward contracts not designated as hedging instruments was $134.5 million and $113.4 million at September 30, 2026, and December 31, 2025, respectively.</w:t>
      </w:r>
    </w:p>
    <w:p>
      <w:pPr>
        <w:spacing w:after="0" w:line="129"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We also use derivative foreign currency forward contracts to manage exposure to foreign exchange currency risks arising from forecasted transactions. These instruments meet the U.S. GAAP criteria for hedge accounting and are accounted for under ASC 815, Derivatives and Hedging. For hedges of forecasted transactions, significant characteristics and expected terms of a forecasted transaction are specifically identified, and it is probable that each forecasted transaction will occur. If it is deemed probable the forecasted transaction will not occur, then the gain or loss would be recognized immediately into net income. At September 30, 2026, and December 31, 2025, the notional amount of open foreign currency exchange forward contracts designated as cash flow hedges was $7.9 million and $31.6 million, respectively. See Note 7—Reclassifications Out of Accumulated Other Comprehensive Loss for information on unrealized loss deferred in Accumulated other comprehensive loss until the transactions related to these cash flow hedges affect earnings. Fair values of these contracts are derived using quoted forward foreign exchange prices to interpolate values of outstanding trades at the reporting date based on their maturities. All open foreign currency exchange forward contracts designated as cash flow hedges outstanding at September 30, 2026, will mature by December 2026.</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unaudited Condensed Consolidated Balance Sheets location and fair value of assets and liabilities associated with derivative financial instruments: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Pr>
          <w:p>
            <w:pPr>
              <w:spacing w:after="0"/>
              <w:rPr>
                <w:sz w:val="16"/>
                <w:szCs w:val="16"/>
                <w:color w:val="auto"/>
              </w:rPr>
            </w:pPr>
          </w:p>
        </w:tc>
        <w:tc>
          <w:tcPr>
            <w:tcW w:w="16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43"/>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exchange contracts: prepaid expenses and other current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exchange contracts: other current liabilities</w:t>
            </w:r>
          </w:p>
        </w:tc>
        <w:tc>
          <w:tcPr>
            <w:tcW w:w="2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cash flow hedges:</w:t>
            </w:r>
          </w:p>
        </w:tc>
        <w:tc>
          <w:tcPr>
            <w:tcW w:w="2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43"/>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exchange contracts: prepaid expenses and other current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43"/>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exchange contracts: other current liabilities</w:t>
            </w: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bl>
    <w:p>
      <w:pPr>
        <w:spacing w:after="0" w:line="2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amount and classification of the net (gain) loss associated with derivative financial instruments within the unaudited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Income and unaudited Condensed Consolidated Statements of Cash Flows: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318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320" w:type="dxa"/>
            <w:vAlign w:val="bottom"/>
            <w:vMerge w:val="continue"/>
          </w:tcPr>
          <w:p>
            <w:pPr>
              <w:spacing w:after="0"/>
              <w:rPr>
                <w:sz w:val="16"/>
                <w:szCs w:val="16"/>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exchange contracts: currency exchange losses, net</w:t>
            </w:r>
          </w:p>
        </w:tc>
        <w:tc>
          <w:tcPr>
            <w:tcW w:w="1260" w:type="dxa"/>
            <w:vAlign w:val="bottom"/>
          </w:tcPr>
          <w:p>
            <w:pPr>
              <w:jc w:val="right"/>
              <w:ind w:right="10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21"/>
                <w:szCs w:val="21"/>
                <w:color w:val="auto"/>
              </w:rPr>
            </w:pPr>
          </w:p>
        </w:tc>
        <w:tc>
          <w:tcPr>
            <w:tcW w:w="1200" w:type="dxa"/>
            <w:vAlign w:val="bottom"/>
          </w:tcPr>
          <w:p>
            <w:pPr>
              <w:jc w:val="right"/>
              <w:ind w:right="9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0" w:type="dxa"/>
            <w:vAlign w:val="bottom"/>
          </w:tcPr>
          <w:p>
            <w:pPr>
              <w:spacing w:after="0"/>
              <w:rPr>
                <w:sz w:val="1"/>
                <w:szCs w:val="1"/>
                <w:color w:val="auto"/>
              </w:rPr>
            </w:pPr>
          </w:p>
        </w:tc>
      </w:tr>
      <w:tr>
        <w:trPr>
          <w:trHeight w:val="24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cash flow hedges:</w:t>
            </w:r>
          </w:p>
        </w:tc>
        <w:tc>
          <w:tcPr>
            <w:tcW w:w="1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exchange contracts: cost of products sold</w:t>
            </w:r>
          </w:p>
        </w:tc>
        <w:tc>
          <w:tcPr>
            <w:tcW w:w="1260" w:type="dxa"/>
            <w:vAlign w:val="bottom"/>
          </w:tcPr>
          <w:p>
            <w:pPr>
              <w:jc w:val="right"/>
              <w:ind w:right="10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1"/>
                <w:szCs w:val="21"/>
                <w:color w:val="auto"/>
              </w:rPr>
            </w:pPr>
          </w:p>
        </w:tc>
        <w:tc>
          <w:tcPr>
            <w:tcW w:w="1200" w:type="dxa"/>
            <w:vAlign w:val="bottom"/>
          </w:tcPr>
          <w:p>
            <w:pPr>
              <w:jc w:val="right"/>
              <w:ind w:right="9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18—Fair Value Measurements</w:t>
      </w:r>
    </w:p>
    <w:p>
      <w:pPr>
        <w:spacing w:after="0" w:line="175"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w:t>
      </w:r>
    </w:p>
    <w:p>
      <w:pPr>
        <w:spacing w:after="0" w:line="12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1—Observable inputs that reflect unadjusted quoted prices for identical assets or liabilities in active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quoted prices included within Level 1 that are observable for the asset or liability, either directly or indirectly.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for the asset or liability.</w:t>
      </w:r>
    </w:p>
    <w:p>
      <w:pPr>
        <w:spacing w:after="0" w:line="171" w:lineRule="exact"/>
        <w:rPr>
          <w:sz w:val="20"/>
          <w:szCs w:val="20"/>
          <w:color w:val="auto"/>
        </w:rPr>
      </w:pPr>
    </w:p>
    <w:p>
      <w:pPr>
        <w:ind w:firstLine="445"/>
        <w:spacing w:after="0" w:line="277" w:lineRule="auto"/>
        <w:rPr>
          <w:sz w:val="20"/>
          <w:szCs w:val="20"/>
          <w:color w:val="auto"/>
        </w:rPr>
      </w:pPr>
      <w:r>
        <w:rPr>
          <w:rFonts w:ascii="Times New Roman" w:cs="Times New Roman" w:eastAsia="Times New Roman" w:hAnsi="Times New Roman"/>
          <w:sz w:val="17"/>
          <w:szCs w:val="17"/>
          <w:color w:val="auto"/>
        </w:rPr>
        <w:t>The valuation methodologies we used to measure financial assets and liabilities are also used to value the derivative financial instruments described in Note 17—Derivative Financial Instruments. We estimate the fair value of the derivative financial instruments, consisting of foreign currency forward contracts, based upon valuation models with inputs that generally can be verified by observable market conditions and do not involve significant management judgment. Accordingly, the fair values of the derivative financial instruments are classified within Level 2 of the fair value hierarchy. With the exception of our fixed rate long-term debt, we believe that the reported carrying amounts of our financial assets and liabilities approximate their fair values.</w:t>
      </w:r>
    </w:p>
    <w:p>
      <w:pPr>
        <w:spacing w:after="0" w:line="114"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The reported carrying amount of our fixed rate long-term debt, including the current portion of long-term debt, was $290.5 million and $299.3 million at September 30, 2026, and December 31, 2025, respectively. The fair value of this debt was $250.5 million and $272.5 million at September 30, 2026, and December 31, 2025, respectively. The fair value of this debt was determined using Level 2 inputs by evaluating similarly rated companies with publicly traded bonds where available or current borrowing rates available for financings with similar terms and maturities.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liability</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face an inherent business risk of exposure to product liability claims arising from the alleged failure of our products to prevent the types of personal injury or death against which they are designed to protect.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Single incident product liability claims. </w:t>
      </w:r>
      <w:r>
        <w:rPr>
          <w:rFonts w:ascii="Times New Roman" w:cs="Times New Roman" w:eastAsia="Times New Roman" w:hAnsi="Times New Roman"/>
          <w:sz w:val="18"/>
          <w:szCs w:val="18"/>
          <w:color w:val="auto"/>
        </w:rPr>
        <w:t>Single incident product liability claims involve incidents of short duration that are typically known when they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occur and involve observable injuries, which provide an objective basis for quantifying damages. Management has established reserves for the single incident product liability claims of the Company's various subsidiaries, including asserted single incident product liability claims and incurred but not reported (“IBNR”) single incident claims. To determine the reserves, Management makes reasonable estimates of losses for single incident claims based on the number and characteristics of asserted claims, historical experience, sales volumes, expected settlement costs, and other relevant information.</w:t>
      </w:r>
    </w:p>
    <w:p>
      <w:pPr>
        <w:spacing w:after="0" w:line="125"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Cumulative trauma product liability claims. </w:t>
      </w:r>
      <w:r>
        <w:rPr>
          <w:rFonts w:ascii="Times New Roman" w:cs="Times New Roman" w:eastAsia="Times New Roman" w:hAnsi="Times New Roman"/>
          <w:sz w:val="18"/>
          <w:szCs w:val="18"/>
          <w:color w:val="auto"/>
        </w:rPr>
        <w:t>Cumulative trauma product liability claims involve alleged exposures to harmful substances (e.g., silica,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asbestos and coal dust) that occurred years ago and may have developed over long periods of time into diseases such as silicosis, asbestosis, mesothelioma, or coal worker’s pneumoconiosis. A former subsidiary of the Company, Mine Safety Appliances Company, LLC (“MSA LLC”), which was divested on January 5, 2023, under a membership interest purchase agreement (the “Purchase Agreement”) with Sag Main Holdings LLC (the “Purchaser”), as further described in the Company’s Current Report on Form 8-K filed on January 6, 2023, has been named as a defendant in various lawsuits related to such claims. These lawsuits mainly involve respiratory protection products allegedly manufactured and sold by MSA LLC or its predecessors.</w:t>
      </w:r>
    </w:p>
    <w:p>
      <w:pPr>
        <w:spacing w:after="0" w:line="132"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As MSA LLC was the obligor for the claims to which the Company's legacy cumulative trauma product liability reserves relate and the policyholder of the related insurance assets, the rights and obligations related to these items remained with MSA LLC when it transferred to the Purchaser's ownership pursuant to the Purchase Agreement. In addition, pursuant to the Purchase Agreement, the Purchaser and MSA LLC have agreed to indemnify the Company and its affiliates for legacy cumulative trauma product liabilities and other product liabilities, and a subsidiary of the Company has agreed to indemnify MSA LLC for all other historical liabilities of MSA LLC. This indemnification is not subject to any cap or time limitation. In connection with the sale, the Company and its Board of Directors received a solvency opinion from an independent advisory firm that MSA LLC was solvent and adequately capitalized after giving effect to the transaction.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Litigation</w:t>
      </w:r>
    </w:p>
    <w:p>
      <w:pPr>
        <w:spacing w:after="0" w:line="175"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Globe, a subsidiary of the Company, is defending claims in which plaintiffs assert that certain products allegedly containing per- and polyfluoroalkyl substances (“PFAS”) have caused harm, including injury or health issues. PFAS are a large class of substances that are widely used in everyday products. Specifically, Globe builds firefighter turnout gear from technical fabrics sourced from a small pool of specialty textile manufacturers. These protective fabrics have been tested and certified to meet current National Fire Protection Association safety standards, and some of them as supplied to Globe contain or historically have contained PFAS to achieve performance characteristics such as water, oil, or chemical resistance.</w:t>
      </w:r>
    </w:p>
    <w:p>
      <w:pPr>
        <w:spacing w:after="0" w:line="129"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Globe believes it has valid defenses to these claims. These matters are at a very early stage with numerous factual and legal issues to be resolved. Defense costs relating to these lawsuits are recognized in the unaudited Condensed Consolidated Statements of Income as incurred. Globe is also pursuing insurance coverage and indemnification related to the lawsuits. As of October 27, 2026, Globe was named as a defendant in 1,280 lawsuits comprised of 19,638 claims based on a largely common set of assertions, predominantly styled as individual personal injury claims and including several putative class actions. Certain of these lawsuits include MSA Safety Inc. or other Globe affiliates as defendants.</w:t>
      </w:r>
    </w:p>
    <w:p>
      <w:pPr>
        <w:spacing w:after="0" w:line="129"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MSA LLC is also a defendant in a number of PFAS lawsuits predominantly relating to Aqueous Film-Forming Foam. The Purchaser assumed responsibility for these and any similar future claims specific to MSA LLC, including such claims that have been or may be brought against MSA Safety Inc. or its subsidiaries, under the terms of the Purchase Agreement governing the Company's January 5, 2023, divestiture of MSA LLC. Further information about the transaction can be found in the Company’s Current Report on Form 8-K filed on January 6,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Warranty</w:t>
      </w:r>
    </w:p>
    <w:p>
      <w:pPr>
        <w:spacing w:after="0" w:line="17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Company provides warranties on certain product sales. Product warranty reserves are established in the same period that revenue from the sale of the related products is recognized, or in the period that a specific issue arises as to the functionality of the Company's product. The determination of such reserves requires the Company to make estimates of product return rates and expected costs to repair or to replace the products under warranty.</w:t>
      </w:r>
    </w:p>
    <w:p>
      <w:pPr>
        <w:spacing w:after="0" w:line="122"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The amounts of the reserves are based on established terms and the Company's best estimate of the amounts necessary to settle future and existing claims on products sold as of the balance sheet date. If actual return rates and/or repair and replacement costs differ significantly from estimates, adjustments to recognize additional cost of sales may be required in future periods.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reconciles changes in the Company's accrued warranty reserve:</w:t>
      </w:r>
    </w:p>
    <w:p>
      <w:pPr>
        <w:spacing w:after="0" w:line="20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3"/>
                <w:szCs w:val="13"/>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3"/>
                <w:szCs w:val="13"/>
                <w:color w:val="auto"/>
              </w:rPr>
            </w:pPr>
          </w:p>
        </w:tc>
        <w:tc>
          <w:tcPr>
            <w:tcW w:w="16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5"/>
        </w:trPr>
        <w:tc>
          <w:tcPr>
            <w:tcW w:w="70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Pr>
          <w:p>
            <w:pPr>
              <w:spacing w:after="0"/>
              <w:rPr>
                <w:sz w:val="16"/>
                <w:szCs w:val="16"/>
                <w:color w:val="auto"/>
              </w:rPr>
            </w:pPr>
          </w:p>
        </w:tc>
        <w:tc>
          <w:tcPr>
            <w:tcW w:w="16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1"/>
        </w:trPr>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warranty reserve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11,864</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13,724</w:t>
            </w:r>
          </w:p>
        </w:tc>
        <w:tc>
          <w:tcPr>
            <w:tcW w:w="0" w:type="dxa"/>
            <w:vAlign w:val="bottom"/>
          </w:tcPr>
          <w:p>
            <w:pPr>
              <w:spacing w:after="0"/>
              <w:rPr>
                <w:sz w:val="1"/>
                <w:szCs w:val="1"/>
                <w:color w:val="auto"/>
              </w:rPr>
            </w:pPr>
          </w:p>
        </w:tc>
      </w:tr>
      <w:tr>
        <w:trPr>
          <w:trHeight w:val="24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payments</w:t>
            </w: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(15,129)</w:t>
            </w: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claims, current</w:t>
            </w:r>
          </w:p>
        </w:tc>
        <w:tc>
          <w:tcPr>
            <w:tcW w:w="2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w:t>
            </w:r>
          </w:p>
        </w:tc>
        <w:tc>
          <w:tcPr>
            <w:tcW w:w="0" w:type="dxa"/>
            <w:vAlign w:val="bottom"/>
          </w:tcPr>
          <w:p>
            <w:pPr>
              <w:spacing w:after="0"/>
              <w:rPr>
                <w:sz w:val="1"/>
                <w:szCs w:val="1"/>
                <w:color w:val="auto"/>
              </w:rPr>
            </w:pPr>
          </w:p>
        </w:tc>
      </w:tr>
      <w:tr>
        <w:trPr>
          <w:trHeight w:val="24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claims, preexisting</w:t>
            </w: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20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37"/>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warranty reserve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12,626</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11,864</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Warranty expense was $12.4 million and $9.9 million for the nine months ended September 30, 2026, and 2025, respectively, and is included in Cost of products sold on the unaudited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6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historical financial statements and other financial information included elsewhere in this quarterly report on Form 10-Q. This discussion may contain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but not limited to the effects of changes in U.S. trade policy and trade agreements, along with increased tariffs as well as those discussed in the sections of our annual report entitled “Forward-Looking Statements” and “Risk Factors,” and those discussed in our Form 10-Q quarterly reports filed after such annual report (such as in Part II, Item 1A, “Risk Factors.”)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75"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 xml:space="preserve">MSA Safety Incorporated is the global leader in advanced industrial safety technology products and solutions. Driven by its singular mission of safety, the Company has been at the forefront of safety innovation since 1914, protecting workers and facility infrastructure around the world across a broad range of diverse end markets while creating sustainable value for shareholders. MSA Safety operates through its </w:t>
      </w:r>
      <w:r>
        <w:rPr>
          <w:rFonts w:ascii="Times New Roman" w:cs="Times New Roman" w:eastAsia="Times New Roman" w:hAnsi="Times New Roman"/>
          <w:sz w:val="18"/>
          <w:szCs w:val="18"/>
          <w:i w:val="1"/>
          <w:iCs w:val="1"/>
          <w:color w:val="auto"/>
        </w:rPr>
        <w:t>Accelerate</w:t>
      </w:r>
      <w:r>
        <w:rPr>
          <w:rFonts w:ascii="Times New Roman" w:cs="Times New Roman" w:eastAsia="Times New Roman" w:hAnsi="Times New Roman"/>
          <w:sz w:val="18"/>
          <w:szCs w:val="18"/>
          <w:color w:val="auto"/>
        </w:rPr>
        <w:t xml:space="preserve"> strategy, leveraging the MSA Business System (MBS) to drive continuous improvement, profitable above-market growth, and balanced capital allocation within a high-performance culture.</w:t>
      </w:r>
    </w:p>
    <w:p>
      <w:pPr>
        <w:spacing w:after="0" w:line="12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Company's comprehensive products and solutions, governed by rigorous safety standards across highly regulated industries, are used across a broad range of markets, including fire service, energy, utilities, construction, and industrial manufacturing, as well as heating, ventilation, air conditioning, and refrigeration (“HVAC-R”). The Company's principal product categories are detection, fire service, and industrial personal protective equipment (“PPE”).</w:t>
      </w:r>
    </w:p>
    <w:p>
      <w:pPr>
        <w:spacing w:after="0" w:line="126"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Detection includes fixed gas and flame detection (“FGFD”) systems and portable gas detection instruments; fire service includes self-contained breathing apparatus (“SCBA”), protective apparel and helmets; and industrial PPE includes industrial head protection and fall protection devices. In addition to its principal product categories, MSA continues to deploy and expand its MSA+™ ecosystem, a sophisticated Hardware-enabled Software-as-a-Service ("HeSaaS") model that provides a turnkey approach by integrating MSA’s hardware with cloud-based software and support services, while delivering recurring revenue.</w:t>
      </w:r>
    </w:p>
    <w:p>
      <w:pPr>
        <w:spacing w:after="0" w:line="129"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A detailed listing of our significant product offerings in the aforementioned product groups above is included in MSA's Annual Report on Form 10-K for the year ended December 31, 2025.</w:t>
      </w:r>
    </w:p>
    <w:p>
      <w:pPr>
        <w:spacing w:after="0" w:line="108"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We tailor our product and solution offerings and distribution strategy to satisfy distinct customer preferences that vary across geographic regions. To best serve these customer preferences, we have organized our business into four geographical operating segments that are aggregated into two reportable segments: Americas and International.</w:t>
      </w:r>
    </w:p>
    <w:p>
      <w:pPr>
        <w:spacing w:after="0" w:line="120" w:lineRule="exact"/>
        <w:rPr>
          <w:sz w:val="20"/>
          <w:szCs w:val="20"/>
          <w:color w:val="auto"/>
        </w:rPr>
      </w:pPr>
    </w:p>
    <w:p>
      <w:pPr>
        <w:ind w:right="18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Americas. </w:t>
      </w:r>
      <w:r>
        <w:rPr>
          <w:rFonts w:ascii="Times New Roman" w:cs="Times New Roman" w:eastAsia="Times New Roman" w:hAnsi="Times New Roman"/>
          <w:sz w:val="18"/>
          <w:szCs w:val="18"/>
          <w:color w:val="auto"/>
        </w:rPr>
        <w:t>Our largest manufacturing and research and development facilities are located in the United States. We serve our markets across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Americas with manufacturing facilities in the U.S., Mexico and Brazil. Operations in the other countries within the Americas segment focus primarily on sales and distribution in their respective home country markets.</w:t>
      </w:r>
    </w:p>
    <w:p>
      <w:pPr>
        <w:spacing w:after="0" w:line="119" w:lineRule="exact"/>
        <w:rPr>
          <w:sz w:val="20"/>
          <w:szCs w:val="20"/>
          <w:color w:val="auto"/>
        </w:rPr>
      </w:pPr>
    </w:p>
    <w:p>
      <w:pPr>
        <w:ind w:right="2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Our International segment includes companies in Europe, the Middle East and Africa (“EMEA”) and the Asia Pacific region.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largest International subsidiaries (in Germany, France, U.K., Ireland and China), we develop, manufacture and sell a wide variety of products. In China, the products manufactured are sold primarily in China as well as in regional markets. Operations in other International segment countries focus primarily on sales and distribution in their respective home country markets. Although some of these companies may perform limited production, most of their sales are of products manufactured in our plants in Germany, France, the U.S., U.K., Ireland, Mexico, Morocco and China or are purchased from third-party vendors.</w:t>
      </w:r>
    </w:p>
    <w:p>
      <w:pPr>
        <w:spacing w:after="0" w:line="128" w:lineRule="exact"/>
        <w:rPr>
          <w:sz w:val="20"/>
          <w:szCs w:val="20"/>
          <w:color w:val="auto"/>
        </w:rPr>
      </w:pPr>
    </w:p>
    <w:p>
      <w:pPr>
        <w:ind w:right="6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Corporate. </w:t>
      </w:r>
      <w:r>
        <w:rPr>
          <w:rFonts w:ascii="Times New Roman" w:cs="Times New Roman" w:eastAsia="Times New Roman" w:hAnsi="Times New Roman"/>
          <w:sz w:val="18"/>
          <w:szCs w:val="18"/>
          <w:color w:val="auto"/>
        </w:rPr>
        <w:t>Corporate expenses not allocated to the reportable segments consist of general and administrative expenses incurred in our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headquarters, costs associated with corporate development initiatives, legal expense, interest expense, foreign exchange gains or losses and other centrally-managed costs. General and administrative costs and overhead comprise the majority of the corporate related expenses.</w:t>
      </w:r>
    </w:p>
    <w:p>
      <w:pPr>
        <w:spacing w:after="0" w:line="108" w:lineRule="exact"/>
        <w:rPr>
          <w:sz w:val="20"/>
          <w:szCs w:val="20"/>
          <w:color w:val="auto"/>
        </w:rPr>
      </w:pPr>
    </w:p>
    <w:p>
      <w:pPr>
        <w:ind w:firstLine="405"/>
        <w:spacing w:after="0" w:line="239" w:lineRule="auto"/>
        <w:rPr>
          <w:sz w:val="20"/>
          <w:szCs w:val="20"/>
          <w:color w:val="auto"/>
        </w:rPr>
      </w:pPr>
      <w:r>
        <w:rPr>
          <w:rFonts w:ascii="Times New Roman" w:cs="Times New Roman" w:eastAsia="Times New Roman" w:hAnsi="Times New Roman"/>
          <w:sz w:val="18"/>
          <w:szCs w:val="18"/>
          <w:color w:val="auto"/>
        </w:rPr>
        <w:t>On July 9, 2026, the Company completed its acquisition of 100% of the common stock of Autronica Fire and Security (“Autronica”) for approximately $563 million, net of cash acquired and subject to customary purchase price adjustments. Headquartered in Norway and employing approximately 500 employees worldwide, Autronica is a designer, manufacturer and supplier of fire detection, gas detection and alarm systems. Autronica serves the critical infrastructure, energy and maritime sectors. Refer to Note 15—Acquisitions to the unaudited condensed consolidated financial statements in Part I Item 1 of this Form 10-Q for further information.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 Compared to Three Months Ended September 30,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9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Dollar</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percentage change)</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24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$536.4</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$468.4</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$68.0</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14.5%</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338.2</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313.3</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7.9%</w:t>
            </w: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198.2</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155.1</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for the three months ended September 30, 2026, were $536.4 million, an increase of $68.0 million, or 14.5%, compared to $468.4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the same period of 2025. Please refer to the Net Sales table below for a reconciliation of the quarter over quarter sales change.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320" w:type="dxa"/>
            <w:vAlign w:val="bottom"/>
          </w:tcPr>
          <w:p>
            <w:pPr>
              <w:spacing w:after="0"/>
              <w:rPr>
                <w:sz w:val="13"/>
                <w:szCs w:val="1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480" w:type="dxa"/>
            <w:vAlign w:val="bottom"/>
            <w:vMerge w:val="continue"/>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2026 versus September 30, 2025</w:t>
            </w: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13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3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54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reported sales change</w:t>
            </w:r>
          </w:p>
        </w:tc>
        <w:tc>
          <w:tcPr>
            <w:tcW w:w="1320" w:type="dxa"/>
            <w:vAlign w:val="bottom"/>
            <w:shd w:val="clear" w:color="auto" w:fill="CCEEFF"/>
          </w:tcPr>
          <w:p>
            <w:pPr>
              <w:jc w:val="center"/>
              <w:ind w:left="474"/>
              <w:spacing w:after="0"/>
              <w:rPr>
                <w:sz w:val="20"/>
                <w:szCs w:val="20"/>
                <w:color w:val="auto"/>
              </w:rPr>
            </w:pPr>
            <w:r>
              <w:rPr>
                <w:rFonts w:ascii="Times New Roman" w:cs="Times New Roman" w:eastAsia="Times New Roman" w:hAnsi="Times New Roman"/>
                <w:sz w:val="18"/>
                <w:szCs w:val="18"/>
                <w:b w:val="1"/>
                <w:bCs w:val="1"/>
                <w:color w:val="auto"/>
                <w:w w:val="98"/>
              </w:rPr>
              <w:t>7.9%</w:t>
            </w:r>
          </w:p>
        </w:tc>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27.8%</w:t>
            </w:r>
          </w:p>
        </w:tc>
        <w:tc>
          <w:tcPr>
            <w:tcW w:w="1380" w:type="dxa"/>
            <w:vAlign w:val="bottom"/>
            <w:shd w:val="clear" w:color="auto" w:fill="CCEEFF"/>
          </w:tcPr>
          <w:p>
            <w:pPr>
              <w:jc w:val="center"/>
              <w:ind w:right="434"/>
              <w:spacing w:after="0"/>
              <w:rPr>
                <w:sz w:val="20"/>
                <w:szCs w:val="20"/>
                <w:color w:val="auto"/>
              </w:rPr>
            </w:pPr>
            <w:r>
              <w:rPr>
                <w:rFonts w:ascii="Times New Roman" w:cs="Times New Roman" w:eastAsia="Times New Roman" w:hAnsi="Times New Roman"/>
                <w:sz w:val="18"/>
                <w:szCs w:val="18"/>
                <w:b w:val="1"/>
                <w:bCs w:val="1"/>
                <w:color w:val="auto"/>
              </w:rPr>
              <w:t>14.5%</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effects</w:t>
            </w:r>
          </w:p>
        </w:tc>
        <w:tc>
          <w:tcPr>
            <w:tcW w:w="1320" w:type="dxa"/>
            <w:vAlign w:val="bottom"/>
          </w:tcPr>
          <w:p>
            <w:pPr>
              <w:jc w:val="center"/>
              <w:ind w:left="494"/>
              <w:spacing w:after="0"/>
              <w:rPr>
                <w:sz w:val="20"/>
                <w:szCs w:val="20"/>
                <w:color w:val="auto"/>
              </w:rPr>
            </w:pPr>
            <w:r>
              <w:rPr>
                <w:rFonts w:ascii="Times New Roman" w:cs="Times New Roman" w:eastAsia="Times New Roman" w:hAnsi="Times New Roman"/>
                <w:sz w:val="18"/>
                <w:szCs w:val="18"/>
                <w:color w:val="auto"/>
              </w:rPr>
              <w:t>(0.8)%</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center"/>
              <w:ind w:right="434"/>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Acquisitions</w:t>
            </w:r>
          </w:p>
        </w:tc>
        <w:tc>
          <w:tcPr>
            <w:tcW w:w="1320" w:type="dxa"/>
            <w:vAlign w:val="bottom"/>
            <w:tcBorders>
              <w:bottom w:val="single" w:sz="8" w:color="auto"/>
            </w:tcBorders>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(25.5)%</w:t>
            </w:r>
          </w:p>
        </w:tc>
        <w:tc>
          <w:tcPr>
            <w:tcW w:w="1380" w:type="dxa"/>
            <w:vAlign w:val="bottom"/>
            <w:tcBorders>
              <w:bottom w:val="single" w:sz="8" w:color="auto"/>
            </w:tcBorders>
            <w:shd w:val="clear" w:color="auto" w:fill="CCEEFF"/>
          </w:tcPr>
          <w:p>
            <w:pPr>
              <w:jc w:val="center"/>
              <w:ind w:right="434"/>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 sales change</w:t>
            </w:r>
          </w:p>
        </w:tc>
        <w:tc>
          <w:tcPr>
            <w:tcW w:w="1320" w:type="dxa"/>
            <w:vAlign w:val="bottom"/>
          </w:tcPr>
          <w:p>
            <w:pPr>
              <w:jc w:val="center"/>
              <w:ind w:left="494"/>
              <w:spacing w:after="0"/>
              <w:rPr>
                <w:sz w:val="20"/>
                <w:szCs w:val="20"/>
                <w:color w:val="auto"/>
              </w:rPr>
            </w:pPr>
            <w:r>
              <w:rPr>
                <w:rFonts w:ascii="Times New Roman" w:cs="Times New Roman" w:eastAsia="Times New Roman" w:hAnsi="Times New Roman"/>
                <w:sz w:val="18"/>
                <w:szCs w:val="18"/>
                <w:color w:val="auto"/>
              </w:rPr>
              <w:t>7.1%</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380" w:type="dxa"/>
            <w:vAlign w:val="bottom"/>
          </w:tcPr>
          <w:p>
            <w:pPr>
              <w:jc w:val="center"/>
              <w:ind w:right="434"/>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Note: Organic sales change is a non-GAAP financial measure. See the “Non-GAAP Financial Measures” section below.</w:t>
      </w:r>
    </w:p>
    <w:p>
      <w:pPr>
        <w:spacing w:after="0" w:line="257" w:lineRule="exact"/>
        <w:rPr>
          <w:sz w:val="20"/>
          <w:szCs w:val="20"/>
          <w:color w:val="auto"/>
        </w:rPr>
      </w:pPr>
    </w:p>
    <w:p>
      <w:pPr>
        <w:ind w:right="420" w:firstLine="445"/>
        <w:spacing w:after="0" w:line="250" w:lineRule="auto"/>
        <w:rPr>
          <w:sz w:val="20"/>
          <w:szCs w:val="20"/>
          <w:color w:val="auto"/>
        </w:rPr>
      </w:pPr>
      <w:r>
        <w:rPr>
          <w:rFonts w:ascii="Times New Roman" w:cs="Times New Roman" w:eastAsia="Times New Roman" w:hAnsi="Times New Roman"/>
          <w:sz w:val="18"/>
          <w:szCs w:val="18"/>
          <w:color w:val="auto"/>
        </w:rPr>
        <w:t>Net sales for the Americas segment were $338.2 million in the third quarter of 2026, an increase of $24.9 million, or 7.9%, compared to $313.3 million in the same period of 2025. Organic sales in the Americas segment increased 7.1% during the period, driven by high-single digit growth in industrial PPE and fire service as well as mid-single digit growth in detection.</w:t>
      </w:r>
    </w:p>
    <w:p>
      <w:pPr>
        <w:spacing w:after="0" w:line="136"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Net sales for the International segment were $198.2 million in the third quarter of 2026, an increase of $43.1 million, or 27.8%, compared to $155.1 million in the same period of 2025. Organic sales in the International segment increased 2.3% during the period, reflecting double-digit growth in fire service and low-single digit growth in industrial PPE partially offset by a mid-single-digit decline in detection largely driven by the conflict in the Middle East. Autronica added $39.4 million of sales to the International segment during the period as compared to prior year.</w:t>
      </w:r>
    </w:p>
    <w:p>
      <w:pPr>
        <w:spacing w:after="0" w:line="112" w:lineRule="exact"/>
        <w:rPr>
          <w:sz w:val="20"/>
          <w:szCs w:val="20"/>
          <w:color w:val="auto"/>
        </w:rPr>
      </w:pPr>
    </w:p>
    <w:p>
      <w:pPr>
        <w:ind w:right="20" w:firstLine="445"/>
        <w:spacing w:after="0" w:line="242" w:lineRule="auto"/>
        <w:rPr>
          <w:sz w:val="20"/>
          <w:szCs w:val="20"/>
          <w:color w:val="auto"/>
        </w:rPr>
      </w:pPr>
      <w:r>
        <w:rPr>
          <w:rFonts w:ascii="Times New Roman" w:cs="Times New Roman" w:eastAsia="Times New Roman" w:hAnsi="Times New Roman"/>
          <w:sz w:val="18"/>
          <w:szCs w:val="18"/>
          <w:color w:val="auto"/>
        </w:rPr>
        <w:t>The operating environment continues to be dynamic, with ongoing uncertainty related to the conflict in the Middle East and the broader macroeconomic conditions. We are maintaining our outlook for low-double-digit total revenue growth supported by mid-single-digit organic revenue growth and a mid-single-digit contribution from acquisitions. Our outlook balances the strength of our order book and a healthy pipeline of opportunities across the portfolio in the fourth quarter with prudent consideration of these ongoing dynamics. Organic orders increased by double digits year over year in the quarter, with broad-based growth across product categories.</w:t>
      </w:r>
    </w:p>
    <w:p>
      <w:pPr>
        <w:spacing w:after="0" w:line="144" w:lineRule="exact"/>
        <w:rPr>
          <w:sz w:val="20"/>
          <w:szCs w:val="20"/>
          <w:color w:val="auto"/>
        </w:rPr>
      </w:pPr>
    </w:p>
    <w:p>
      <w:pPr>
        <w:ind w:right="700" w:firstLine="445"/>
        <w:spacing w:after="0" w:line="282" w:lineRule="auto"/>
        <w:rPr>
          <w:sz w:val="20"/>
          <w:szCs w:val="20"/>
          <w:color w:val="auto"/>
        </w:rPr>
      </w:pPr>
      <w:r>
        <w:rPr>
          <w:rFonts w:ascii="Times New Roman" w:cs="Times New Roman" w:eastAsia="Times New Roman" w:hAnsi="Times New Roman"/>
          <w:sz w:val="18"/>
          <w:szCs w:val="18"/>
          <w:color w:val="auto"/>
        </w:rPr>
        <w:t>Refer to Note 9—Segment Information to the unaudited condensed consolidated financial statements in Part I Item 1 of this Form 10-Q, for information regarding sales by product group.</w:t>
      </w:r>
    </w:p>
    <w:p>
      <w:pPr>
        <w:spacing w:after="0" w:line="104"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Gross profit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Gross profit for the third quarter of 2026 was $244.2 million, an increase of $26.6 million or 12.2%, compared to $217.6 million in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of 2025. The ratio of gross profit to net sales was 45.5% in the third quarter of 2026 compared to 46.5% in the same quarter last year. The decrease in gross profit margin reflects the impact of the Autronica acquisition, including amortization. Price realization and productivity fully offset inflation and unfavorable mix.</w:t>
      </w:r>
    </w:p>
    <w:p>
      <w:pPr>
        <w:spacing w:after="0" w:line="12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(“SG&amp;A”) expenses were $132.4 million during the third quarter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an increase of $29.5 million or 28.7%, compared to $102.9 million in the same period of 2025. SG&amp;A expenses were 24.7% of net sales during the third quarter of 2026 compared to 22.0% in the same quarter last year. SG&amp;A for 2026 includes $7.3 million of additional expenses associated with Autronica operations as compared to the prior year. SG&amp;A also includes $15.0 million and $1.9 million of strategic transaction and digital transformation costs for the third quarter of 2026 and 2025, respectively. Organic SG&amp;A increased by approximately $8.7 million or 8.7%, driven primarily by higher variable compensation resulting from improved results and the Autronica acquisition, commercial investments, and inflation.</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Please refer to the SG&amp;A expenses table below for a reconciliation of the quarter over quarter expense change.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tc>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4"/>
        </w:trPr>
        <w:tc>
          <w:tcPr>
            <w:tcW w:w="7380" w:type="dxa"/>
            <w:vAlign w:val="bottom"/>
            <w:vMerge w:val="continue"/>
          </w:tcPr>
          <w:p>
            <w:pPr>
              <w:spacing w:after="0"/>
              <w:rPr>
                <w:sz w:val="16"/>
                <w:szCs w:val="16"/>
                <w:color w:val="auto"/>
              </w:rPr>
            </w:pPr>
          </w:p>
        </w:tc>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2026 versus September 30, 2025</w:t>
            </w:r>
          </w:p>
        </w:tc>
        <w:tc>
          <w:tcPr>
            <w:tcW w:w="0" w:type="dxa"/>
            <w:vAlign w:val="bottom"/>
          </w:tcPr>
          <w:p>
            <w:pPr>
              <w:spacing w:after="0"/>
              <w:rPr>
                <w:sz w:val="1"/>
                <w:szCs w:val="1"/>
                <w:color w:val="auto"/>
              </w:rPr>
            </w:pPr>
          </w:p>
        </w:tc>
      </w:tr>
      <w:tr>
        <w:trPr>
          <w:trHeight w:val="193"/>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73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reported change</w:t>
            </w:r>
          </w:p>
        </w:tc>
        <w:tc>
          <w:tcPr>
            <w:tcW w:w="3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28.7%</w:t>
            </w:r>
          </w:p>
        </w:tc>
        <w:tc>
          <w:tcPr>
            <w:tcW w:w="0" w:type="dxa"/>
            <w:vAlign w:val="bottom"/>
          </w:tcPr>
          <w:p>
            <w:pPr>
              <w:spacing w:after="0"/>
              <w:rPr>
                <w:sz w:val="1"/>
                <w:szCs w:val="1"/>
                <w:color w:val="auto"/>
              </w:rPr>
            </w:pPr>
          </w:p>
        </w:tc>
      </w:tr>
      <w:tr>
        <w:trPr>
          <w:trHeight w:val="24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effects</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and related transaction and digital transformation costs</w:t>
            </w:r>
          </w:p>
        </w:tc>
        <w:tc>
          <w:tcPr>
            <w:tcW w:w="3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(19.7)%</w:t>
            </w:r>
          </w:p>
        </w:tc>
        <w:tc>
          <w:tcPr>
            <w:tcW w:w="0" w:type="dxa"/>
            <w:vAlign w:val="bottom"/>
          </w:tcPr>
          <w:p>
            <w:pPr>
              <w:spacing w:after="0"/>
              <w:rPr>
                <w:sz w:val="1"/>
                <w:szCs w:val="1"/>
                <w:color w:val="auto"/>
              </w:rPr>
            </w:pPr>
          </w:p>
        </w:tc>
      </w:tr>
      <w:tr>
        <w:trPr>
          <w:trHeight w:val="237"/>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 change</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Note: Organic SG&amp;A change is a non-GAAP financial measure. See the “Non-GAAP Financial Measures” section below.</w:t>
      </w:r>
    </w:p>
    <w:p>
      <w:pPr>
        <w:spacing w:after="0" w:line="240"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and development expense was $20.0 million during the third quarter of 2026, an increase of $3.5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$16.5 million in the same period of 2025 primarily due to the Autronica acquisition. Research and development expense was 3.7% of net sales in the third quarter of 2026 and 3.5% in the third quarter of 2025.</w:t>
      </w:r>
    </w:p>
    <w:p>
      <w:pPr>
        <w:spacing w:after="0" w:line="117" w:lineRule="exact"/>
        <w:rPr>
          <w:sz w:val="20"/>
          <w:szCs w:val="20"/>
          <w:color w:val="auto"/>
        </w:rPr>
      </w:pPr>
    </w:p>
    <w:p>
      <w:pPr>
        <w:jc w:val="both"/>
        <w:ind w:right="240" w:firstLine="445"/>
        <w:spacing w:after="0" w:line="266" w:lineRule="auto"/>
        <w:rPr>
          <w:sz w:val="20"/>
          <w:szCs w:val="20"/>
          <w:color w:val="auto"/>
        </w:rPr>
      </w:pPr>
      <w:r>
        <w:rPr>
          <w:rFonts w:ascii="Times New Roman" w:cs="Times New Roman" w:eastAsia="Times New Roman" w:hAnsi="Times New Roman"/>
          <w:sz w:val="18"/>
          <w:szCs w:val="18"/>
          <w:color w:val="auto"/>
        </w:rPr>
        <w:t>During the third quarter of 2026 and 2025, we capitalized $4.0 million and $3.7 million of software development costs, respectively. Depreciation expense for capitalized software development costs of $3.4 million and $2.8 million for the third quarter of 2026 and 2025, respectively, was recorded in Costs of products sold on the unaudited Condensed Consolidated Statements of Income.</w:t>
      </w:r>
    </w:p>
    <w:p>
      <w:pPr>
        <w:spacing w:after="0" w:line="122"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The Company's commitment to innovation is supported by a research and development pipeline focused on integrating advanced technology into core safety equipment. Approximately half of MSA’s R&amp;D engineers are now focused on software development to support the expansion of its connected ecosystems and HeSaaS models. As we continue to invest a significant portion of our new product development into technology-based safety solutions, we anticipate that the historical relationship of research and development expense to net sales will continue to evolve; however, we do not anticipate reductions in the relative level of total spend on research and development activities on an annual basis. Total spend on both software development and research and development activities was $24.0 million and $20.2 million during the third quarter of September 30, 2026, and 2025, respectively.</w:t>
      </w:r>
    </w:p>
    <w:p>
      <w:pPr>
        <w:spacing w:after="0" w:line="11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Restructuring charges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Restructuring charges were $1.8 million and $0.1 million during the third quarter of 2026 and 2025, respectively. Charges in both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periods were primarily related to initiatives to right-size the organization in response to macroeconomic conditions and footprint optimization.</w:t>
      </w:r>
    </w:p>
    <w:p>
      <w:pPr>
        <w:spacing w:after="0" w:line="7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Currency exchange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Currency exchange losses were $1.9 million in the third quarter of 2026 compared to $3.9 million in the same period of 2025.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currency exchange activity for both periods related primarily to foreign currency exposure on unsettled inter-company balances. Refer to Note 17— Derivative Financial Instruments to the unaudited condensed consolidated financial statements in Part I Item 1 of this Form 10-Q, for information regarding our currency exchange rate risk management strategy.</w:t>
      </w:r>
    </w:p>
    <w:p>
      <w:pPr>
        <w:spacing w:after="0" w:line="109"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GAAP operating income. </w:t>
      </w:r>
      <w:r>
        <w:rPr>
          <w:rFonts w:ascii="Times New Roman" w:cs="Times New Roman" w:eastAsia="Times New Roman" w:hAnsi="Times New Roman"/>
          <w:sz w:val="18"/>
          <w:szCs w:val="18"/>
          <w:color w:val="auto"/>
        </w:rPr>
        <w:t>Consolidated operating income for the third quarter of 2026 was $88.2 million compared to $94.3 million in the same period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The decrease in operating income was primarily driven by higher SG&amp;A and the impact of the Autronica acquisition, including higher transaction costs and amortization, partially offset by higher sales and lower currency exchange losses as discussed further above.</w:t>
      </w:r>
    </w:p>
    <w:p>
      <w:pPr>
        <w:spacing w:after="0" w:line="103"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operating income. </w:t>
      </w:r>
      <w:r>
        <w:rPr>
          <w:rFonts w:ascii="Times New Roman" w:cs="Times New Roman" w:eastAsia="Times New Roman" w:hAnsi="Times New Roman"/>
          <w:sz w:val="18"/>
          <w:szCs w:val="18"/>
          <w:color w:val="auto"/>
        </w:rPr>
        <w:t>Americas adjusted operating income for the third quarter of 2026 was $96.7 million, an increase of $8.0 million or 9.0%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$88.7 million in the same period of 2025. The increase in adjusted operating income is primarily attributable to increased sales and higher gross profit driven by price realization and productivity, partially offset by inflation.</w:t>
      </w:r>
    </w:p>
    <w:p>
      <w:pPr>
        <w:spacing w:after="0" w:line="94" w:lineRule="exact"/>
        <w:rPr>
          <w:sz w:val="20"/>
          <w:szCs w:val="20"/>
          <w:color w:val="auto"/>
        </w:rPr>
      </w:pPr>
    </w:p>
    <w:p>
      <w:pPr>
        <w:ind w:right="320" w:firstLine="445"/>
        <w:spacing w:after="0" w:line="266" w:lineRule="auto"/>
        <w:rPr>
          <w:sz w:val="20"/>
          <w:szCs w:val="20"/>
          <w:color w:val="auto"/>
        </w:rPr>
      </w:pPr>
      <w:r>
        <w:rPr>
          <w:rFonts w:ascii="Times New Roman" w:cs="Times New Roman" w:eastAsia="Times New Roman" w:hAnsi="Times New Roman"/>
          <w:sz w:val="18"/>
          <w:szCs w:val="18"/>
          <w:color w:val="auto"/>
        </w:rPr>
        <w:t>International adjusted operating income for the third quarter of 2026 was $31.8 million, an increase of $7.0 million, or 28.2%, compared to $24.8 million in the same period of 2025. The increase in adjusted operating income is attributable to increased sales and the contribution from Autronica partially offset by inflation and higher SG&amp;A expenses.</w:t>
      </w:r>
    </w:p>
    <w:p>
      <w:pPr>
        <w:spacing w:after="0" w:line="108"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Corporate expense for the third quarter of 2026 was $13.6 million, an increase of $3.8 million, compared to $9.8 million in the same period of 2025, driven by higher variable compensation and professional service fees, partially offset by discretionary expense management.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a summary of adjusted operating income (loss), adjusted operating margin %, adjusted EBITDA and adjusted EBITDA</w:t>
      </w:r>
    </w:p>
    <w:p>
      <w:pPr>
        <w:spacing w:after="0" w:line="27" w:lineRule="exact"/>
        <w:rPr>
          <w:sz w:val="20"/>
          <w:szCs w:val="20"/>
          <w:color w:val="auto"/>
        </w:rPr>
      </w:pPr>
    </w:p>
    <w:p>
      <w:pPr>
        <w:ind w:left="200" w:hanging="192"/>
        <w:spacing w:after="0"/>
        <w:tabs>
          <w:tab w:leader="none" w:pos="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reportable segment. Adjusted operating margin % is calculated as adjusted operating income (loss) divided by net sales and adjusted EBITDA margin</w:t>
      </w:r>
    </w:p>
    <w:p>
      <w:pPr>
        <w:spacing w:after="0" w:line="9"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calculated as adjusted EBITDA divided by net sales.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4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360" w:type="dxa"/>
            <w:vAlign w:val="bottom"/>
          </w:tcPr>
          <w:p>
            <w:pPr>
              <w:spacing w:after="0"/>
              <w:rPr>
                <w:sz w:val="13"/>
                <w:szCs w:val="13"/>
                <w:color w:val="auto"/>
              </w:rPr>
            </w:pPr>
          </w:p>
        </w:tc>
        <w:tc>
          <w:tcPr>
            <w:tcW w:w="144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13"/>
                <w:szCs w:val="13"/>
                <w:color w:val="auto"/>
              </w:rPr>
            </w:pPr>
          </w:p>
        </w:tc>
        <w:tc>
          <w:tcPr>
            <w:tcW w:w="13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 Reportable</w:t>
            </w:r>
          </w:p>
        </w:tc>
        <w:tc>
          <w:tcPr>
            <w:tcW w:w="340" w:type="dxa"/>
            <w:vAlign w:val="bottom"/>
          </w:tcPr>
          <w:p>
            <w:pPr>
              <w:spacing w:after="0"/>
              <w:rPr>
                <w:sz w:val="13"/>
                <w:szCs w:val="13"/>
                <w:color w:val="auto"/>
              </w:rPr>
            </w:pPr>
          </w:p>
        </w:tc>
        <w:tc>
          <w:tcPr>
            <w:tcW w:w="13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tcPr>
          <w:p>
            <w:pPr>
              <w:spacing w:after="0"/>
              <w:rPr>
                <w:sz w:val="13"/>
                <w:szCs w:val="13"/>
                <w:color w:val="auto"/>
              </w:rPr>
            </w:pPr>
          </w:p>
        </w:tc>
        <w:tc>
          <w:tcPr>
            <w:tcW w:w="124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12"/>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34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800" w:type="dxa"/>
            <w:vAlign w:val="bottom"/>
            <w:tcBorders>
              <w:bottom w:val="single" w:sz="8" w:color="auto"/>
            </w:tcBorders>
            <w:vMerge w:val="continue"/>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vMerge w:val="continue"/>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5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338,246</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198,184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536,430</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536,430</w:t>
            </w:r>
          </w:p>
        </w:tc>
        <w:tc>
          <w:tcPr>
            <w:tcW w:w="0" w:type="dxa"/>
            <w:vAlign w:val="bottom"/>
          </w:tcPr>
          <w:p>
            <w:pPr>
              <w:spacing w:after="0"/>
              <w:rPr>
                <w:sz w:val="1"/>
                <w:szCs w:val="1"/>
                <w:color w:val="auto"/>
              </w:rPr>
            </w:pPr>
          </w:p>
        </w:tc>
      </w:tr>
      <w:tr>
        <w:trPr>
          <w:trHeight w:val="243"/>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operating income</w:t>
            </w:r>
          </w:p>
        </w:tc>
        <w:tc>
          <w:tcPr>
            <w:tcW w:w="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88,235</w:t>
            </w:r>
          </w:p>
        </w:tc>
        <w:tc>
          <w:tcPr>
            <w:tcW w:w="0" w:type="dxa"/>
            <w:vAlign w:val="bottom"/>
          </w:tcPr>
          <w:p>
            <w:pPr>
              <w:spacing w:after="0"/>
              <w:rPr>
                <w:sz w:val="1"/>
                <w:szCs w:val="1"/>
                <w:color w:val="auto"/>
              </w:rPr>
            </w:pPr>
          </w:p>
        </w:tc>
      </w:tr>
      <w:tr>
        <w:trPr>
          <w:trHeight w:val="24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income (loss)</w:t>
            </w:r>
          </w:p>
        </w:tc>
        <w:tc>
          <w:tcPr>
            <w:tcW w:w="58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96,660</w:t>
            </w: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31,834</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128,494</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(13,564)</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114,930</w:t>
            </w:r>
          </w:p>
        </w:tc>
        <w:tc>
          <w:tcPr>
            <w:tcW w:w="0" w:type="dxa"/>
            <w:vAlign w:val="bottom"/>
          </w:tcPr>
          <w:p>
            <w:pPr>
              <w:spacing w:after="0"/>
              <w:rPr>
                <w:sz w:val="1"/>
                <w:szCs w:val="1"/>
                <w:color w:val="auto"/>
              </w:rPr>
            </w:pPr>
          </w:p>
        </w:tc>
      </w:tr>
      <w:tr>
        <w:trPr>
          <w:trHeight w:val="243"/>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margin %</w:t>
            </w:r>
          </w:p>
        </w:tc>
        <w:tc>
          <w:tcPr>
            <w:tcW w:w="5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3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58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106,867</w:t>
            </w: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37,411</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144,278</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(13,564)</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130,714</w:t>
            </w:r>
          </w:p>
        </w:tc>
        <w:tc>
          <w:tcPr>
            <w:tcW w:w="0" w:type="dxa"/>
            <w:vAlign w:val="bottom"/>
          </w:tcPr>
          <w:p>
            <w:pPr>
              <w:spacing w:after="0"/>
              <w:rPr>
                <w:sz w:val="1"/>
                <w:szCs w:val="1"/>
                <w:color w:val="auto"/>
              </w:rPr>
            </w:pPr>
          </w:p>
        </w:tc>
      </w:tr>
      <w:tr>
        <w:trPr>
          <w:trHeight w:val="243"/>
        </w:trPr>
        <w:tc>
          <w:tcPr>
            <w:tcW w:w="2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EBITDA %</w:t>
            </w:r>
          </w:p>
        </w:tc>
        <w:tc>
          <w:tcPr>
            <w:tcW w:w="5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3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3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5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5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313,350</w:t>
            </w:r>
          </w:p>
        </w:tc>
        <w:tc>
          <w:tcPr>
            <w:tcW w:w="3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155,095</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468,445</w:t>
            </w:r>
          </w:p>
        </w:tc>
        <w:tc>
          <w:tcPr>
            <w:tcW w:w="3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468,445</w:t>
            </w:r>
          </w:p>
        </w:tc>
        <w:tc>
          <w:tcPr>
            <w:tcW w:w="0" w:type="dxa"/>
            <w:vAlign w:val="bottom"/>
          </w:tcPr>
          <w:p>
            <w:pPr>
              <w:spacing w:after="0"/>
              <w:rPr>
                <w:sz w:val="1"/>
                <w:szCs w:val="1"/>
                <w:color w:val="auto"/>
              </w:rPr>
            </w:pPr>
          </w:p>
        </w:tc>
      </w:tr>
      <w:tr>
        <w:trPr>
          <w:trHeight w:val="24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operating income</w:t>
            </w:r>
          </w:p>
        </w:tc>
        <w:tc>
          <w:tcPr>
            <w:tcW w:w="5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94,310</w:t>
            </w:r>
          </w:p>
        </w:tc>
        <w:tc>
          <w:tcPr>
            <w:tcW w:w="0" w:type="dxa"/>
            <w:vAlign w:val="bottom"/>
          </w:tcPr>
          <w:p>
            <w:pPr>
              <w:spacing w:after="0"/>
              <w:rPr>
                <w:sz w:val="1"/>
                <w:szCs w:val="1"/>
                <w:color w:val="auto"/>
              </w:rPr>
            </w:pPr>
          </w:p>
        </w:tc>
      </w:tr>
      <w:tr>
        <w:trPr>
          <w:trHeight w:val="243"/>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 (loss)</w:t>
            </w:r>
          </w:p>
        </w:tc>
        <w:tc>
          <w:tcPr>
            <w:tcW w:w="580" w:type="dxa"/>
            <w:vAlign w:val="bottom"/>
          </w:tcPr>
          <w:p>
            <w:pPr>
              <w:spacing w:after="0"/>
              <w:rPr>
                <w:sz w:val="21"/>
                <w:szCs w:val="21"/>
                <w:color w:val="auto"/>
              </w:rPr>
            </w:pPr>
          </w:p>
        </w:tc>
        <w:tc>
          <w:tcPr>
            <w:tcW w:w="14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88,680</w:t>
            </w:r>
          </w:p>
        </w:tc>
        <w:tc>
          <w:tcPr>
            <w:tcW w:w="360" w:type="dxa"/>
            <w:vAlign w:val="bottom"/>
          </w:tcPr>
          <w:p>
            <w:pPr>
              <w:spacing w:after="0"/>
              <w:rPr>
                <w:sz w:val="21"/>
                <w:szCs w:val="21"/>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24,834</w:t>
            </w:r>
          </w:p>
        </w:tc>
        <w:tc>
          <w:tcPr>
            <w:tcW w:w="140" w:type="dxa"/>
            <w:vAlign w:val="bottom"/>
          </w:tcPr>
          <w:p>
            <w:pPr>
              <w:spacing w:after="0"/>
              <w:rPr>
                <w:sz w:val="21"/>
                <w:szCs w:val="21"/>
                <w:color w:val="auto"/>
              </w:rPr>
            </w:pPr>
          </w:p>
        </w:tc>
        <w:tc>
          <w:tcPr>
            <w:tcW w:w="13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113,514</w:t>
            </w:r>
          </w:p>
        </w:tc>
        <w:tc>
          <w:tcPr>
            <w:tcW w:w="34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(9,773)</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103,741</w:t>
            </w:r>
          </w:p>
        </w:tc>
        <w:tc>
          <w:tcPr>
            <w:tcW w:w="0" w:type="dxa"/>
            <w:vAlign w:val="bottom"/>
          </w:tcPr>
          <w:p>
            <w:pPr>
              <w:spacing w:after="0"/>
              <w:rPr>
                <w:sz w:val="1"/>
                <w:szCs w:val="1"/>
                <w:color w:val="auto"/>
              </w:rPr>
            </w:pPr>
          </w:p>
        </w:tc>
      </w:tr>
      <w:tr>
        <w:trPr>
          <w:trHeight w:val="24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margin %</w:t>
            </w:r>
          </w:p>
        </w:tc>
        <w:tc>
          <w:tcPr>
            <w:tcW w:w="5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580" w:type="dxa"/>
            <w:vAlign w:val="bottom"/>
          </w:tcPr>
          <w:p>
            <w:pPr>
              <w:spacing w:after="0"/>
              <w:rPr>
                <w:sz w:val="21"/>
                <w:szCs w:val="21"/>
                <w:color w:val="auto"/>
              </w:rPr>
            </w:pPr>
          </w:p>
        </w:tc>
        <w:tc>
          <w:tcPr>
            <w:tcW w:w="14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98,656</w:t>
            </w:r>
          </w:p>
        </w:tc>
        <w:tc>
          <w:tcPr>
            <w:tcW w:w="360" w:type="dxa"/>
            <w:vAlign w:val="bottom"/>
          </w:tcPr>
          <w:p>
            <w:pPr>
              <w:spacing w:after="0"/>
              <w:rPr>
                <w:sz w:val="21"/>
                <w:szCs w:val="21"/>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29,831</w:t>
            </w:r>
          </w:p>
        </w:tc>
        <w:tc>
          <w:tcPr>
            <w:tcW w:w="140" w:type="dxa"/>
            <w:vAlign w:val="bottom"/>
          </w:tcPr>
          <w:p>
            <w:pPr>
              <w:spacing w:after="0"/>
              <w:rPr>
                <w:sz w:val="21"/>
                <w:szCs w:val="21"/>
                <w:color w:val="auto"/>
              </w:rPr>
            </w:pPr>
          </w:p>
        </w:tc>
        <w:tc>
          <w:tcPr>
            <w:tcW w:w="13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128,487</w:t>
            </w:r>
          </w:p>
        </w:tc>
        <w:tc>
          <w:tcPr>
            <w:tcW w:w="34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(9,553)</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118,934</w:t>
            </w:r>
          </w:p>
        </w:tc>
        <w:tc>
          <w:tcPr>
            <w:tcW w:w="0" w:type="dxa"/>
            <w:vAlign w:val="bottom"/>
          </w:tcPr>
          <w:p>
            <w:pPr>
              <w:spacing w:after="0"/>
              <w:rPr>
                <w:sz w:val="1"/>
                <w:szCs w:val="1"/>
                <w:color w:val="auto"/>
              </w:rPr>
            </w:pPr>
          </w:p>
        </w:tc>
      </w:tr>
      <w:tr>
        <w:trPr>
          <w:trHeight w:val="24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w:t>
            </w:r>
          </w:p>
        </w:tc>
        <w:tc>
          <w:tcPr>
            <w:tcW w:w="5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 Adjusted operating income (loss), adjusted operating margin %, adjusted EBITDA and Adjusted EBITDA margin % are non-GAAP financial</w:t>
      </w:r>
    </w:p>
    <w:p>
      <w:pPr>
        <w:spacing w:after="0" w:line="2" w:lineRule="exact"/>
        <w:rPr>
          <w:sz w:val="20"/>
          <w:szCs w:val="20"/>
          <w:color w:val="auto"/>
        </w:rPr>
      </w:pPr>
    </w:p>
    <w:p>
      <w:pPr>
        <w:ind w:left="20" w:right="480"/>
        <w:spacing w:after="0" w:line="208" w:lineRule="auto"/>
        <w:rPr>
          <w:sz w:val="20"/>
          <w:szCs w:val="20"/>
          <w:color w:val="auto"/>
        </w:rPr>
      </w:pPr>
      <w:r>
        <w:rPr>
          <w:rFonts w:ascii="Times New Roman" w:cs="Times New Roman" w:eastAsia="Times New Roman" w:hAnsi="Times New Roman"/>
          <w:sz w:val="18"/>
          <w:szCs w:val="18"/>
          <w:color w:val="auto"/>
        </w:rPr>
        <w:t>measures and operating ratios derived from non-GAAP financial measures. Refer to Note 9—Segment Information to the unaudited condensed consolidated financial statements in Part I Item 1 of this Form 10-Q for reconciliation of total adjusted operating income from reportable segments to income before income taxes and table below for reconciliation of adjusted EBITDA to net income. See also the “Non-GAAP Financial Information”</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section below.</w:t>
      </w:r>
    </w:p>
    <w:p>
      <w:pPr>
        <w:spacing w:after="0" w:line="2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reconciliation of total adjusted EBITDA and total adjusted operating income from reportable segments to net income is presented in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20" w:type="dxa"/>
            <w:vAlign w:val="bottom"/>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18"/>
                <w:szCs w:val="18"/>
                <w:color w:val="auto"/>
              </w:rPr>
            </w:pPr>
          </w:p>
        </w:tc>
        <w:tc>
          <w:tcPr>
            <w:tcW w:w="1420" w:type="dxa"/>
            <w:vAlign w:val="bottom"/>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from reportable segments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144,278</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128,487</w:t>
            </w: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43"/>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15,784</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14,973</w:t>
            </w:r>
          </w:p>
        </w:tc>
      </w:tr>
      <w:tr>
        <w:trPr>
          <w:trHeight w:val="237"/>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 from reportable segments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128,494</w:t>
            </w:r>
          </w:p>
        </w:tc>
        <w:tc>
          <w:tcPr>
            <w:tcW w:w="12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113,514</w:t>
            </w:r>
          </w:p>
        </w:tc>
      </w:tr>
      <w:tr>
        <w:trPr>
          <w:trHeight w:val="24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43"/>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expenses</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9,773</w:t>
            </w:r>
          </w:p>
        </w:tc>
      </w:tr>
      <w:tr>
        <w:trPr>
          <w:trHeight w:val="243"/>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Currency exchange losses, net</w:t>
            </w: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r>
      <w:tr>
        <w:trPr>
          <w:trHeight w:val="243"/>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charges (Note 4)</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Acquisition-related amortization</w:t>
            </w: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w:t>
            </w:r>
          </w:p>
        </w:tc>
      </w:tr>
      <w:tr>
        <w:trPr>
          <w:trHeight w:val="243"/>
        </w:trPr>
        <w:tc>
          <w:tcPr>
            <w:tcW w:w="7320" w:type="dxa"/>
            <w:vAlign w:val="bottom"/>
            <w:tcBorders>
              <w:bottom w:val="single" w:sz="8" w:color="CCEEFF"/>
            </w:tcBorders>
          </w:tcPr>
          <w:p>
            <w:pPr>
              <w:ind w:left="240"/>
              <w:spacing w:after="0" w:line="243" w:lineRule="exact"/>
              <w:rPr>
                <w:sz w:val="20"/>
                <w:szCs w:val="20"/>
                <w:color w:val="auto"/>
              </w:rPr>
            </w:pPr>
            <w:r>
              <w:rPr>
                <w:rFonts w:ascii="Times New Roman" w:cs="Times New Roman" w:eastAsia="Times New Roman" w:hAnsi="Times New Roman"/>
                <w:sz w:val="18"/>
                <w:szCs w:val="18"/>
                <w:color w:val="auto"/>
              </w:rPr>
              <w:t>Transaction and digital transformation costs</w:t>
            </w:r>
            <w:r>
              <w:rPr>
                <w:rFonts w:ascii="Times New Roman" w:cs="Times New Roman" w:eastAsia="Times New Roman" w:hAnsi="Times New Roman"/>
                <w:sz w:val="23"/>
                <w:szCs w:val="23"/>
                <w:color w:val="auto"/>
                <w:vertAlign w:val="superscript"/>
              </w:rPr>
              <w:t>(a)</w:t>
            </w: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14,967</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w:t>
            </w:r>
          </w:p>
        </w:tc>
      </w:tr>
      <w:tr>
        <w:trPr>
          <w:trHeight w:val="23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operating income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88,235</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94,310</w:t>
            </w: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43"/>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8,416</w:t>
            </w:r>
          </w:p>
        </w:tc>
      </w:tr>
      <w:tr>
        <w:trPr>
          <w:trHeight w:val="243"/>
        </w:trPr>
        <w:tc>
          <w:tcPr>
            <w:tcW w:w="7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(6,562)</w:t>
            </w:r>
          </w:p>
        </w:tc>
      </w:tr>
      <w:tr>
        <w:trPr>
          <w:trHeight w:val="23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81,954</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92,456</w:t>
            </w:r>
          </w:p>
        </w:tc>
      </w:tr>
      <w:tr>
        <w:trPr>
          <w:trHeight w:val="243"/>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23,558</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22,843</w:t>
            </w:r>
          </w:p>
        </w:tc>
      </w:tr>
      <w:tr>
        <w:trPr>
          <w:trHeight w:val="23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58,396</w:t>
            </w:r>
          </w:p>
        </w:tc>
        <w:tc>
          <w:tcPr>
            <w:tcW w:w="1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69,613</w:t>
            </w:r>
          </w:p>
        </w:tc>
      </w:tr>
    </w:tbl>
    <w:p>
      <w:pPr>
        <w:spacing w:after="0" w:line="36" w:lineRule="exact"/>
        <w:rPr>
          <w:sz w:val="20"/>
          <w:szCs w:val="20"/>
          <w:color w:val="auto"/>
        </w:rPr>
      </w:pPr>
    </w:p>
    <w:p>
      <w:pPr>
        <w:ind w:left="20" w:right="120" w:firstLine="6"/>
        <w:spacing w:after="0" w:line="223" w:lineRule="auto"/>
        <w:tabs>
          <w:tab w:leader="none" w:pos="194"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Transaction and digital transformation costs include advisory, legal, accounting, valuation, and other professional or consulting fees incurred during our evaluation of or in connection with acquisitions and divestitures as well as costs associated with strategic digital transformation efforts. These costs are included in Selling, general and administrative expense in the unaudited Condensed Consolidated Statements of Income.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Total other expense, net. </w:t>
      </w:r>
      <w:r>
        <w:rPr>
          <w:rFonts w:ascii="Times New Roman" w:cs="Times New Roman" w:eastAsia="Times New Roman" w:hAnsi="Times New Roman"/>
          <w:sz w:val="18"/>
          <w:szCs w:val="18"/>
          <w:color w:val="auto"/>
        </w:rPr>
        <w:t>Total other expense for the third quarter of 2026 was $6.3 million, compared to $1.9 million for the same period of 2025.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was primarily related to higher interest expense driven by increased borrowings for the Autronica acquisition and higher interest rates partially offset by increased pension income, a result of higher expected return on plan assets.</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The reported effective tax rate for the third quarter of 2026 was 28.7% compared to 24.7% in the same period of 2025. The increase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year was primarily driven by additional expense associated with increased profitability in high tax jurisdictions, and nondeductible transaction costs.</w:t>
      </w:r>
    </w:p>
    <w:p>
      <w:pPr>
        <w:spacing w:after="0" w:line="105"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We are subject to regular review and audit by both foreign and domestic tax authorities. While we believe our tax positions will be sustained, the final outcome of tax audits and related litigation may differ materially from the tax amounts recorded in our unaudited condensed consolidated financial statements.</w:t>
      </w:r>
    </w:p>
    <w:p>
      <w:pPr>
        <w:spacing w:after="0" w:line="118"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income was $58.4 million for the third quarter of 2026, or $1.51 per diluted share, a decrease of approximately 16% largely driven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higher SG&amp;A and the impact of the Autronica acquisition including higher transaction costs, amortization and interest costs, compared to $69.6 million, or $1.77 per diluted share, in the same period of 2025.</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 Compared to Nine Months Ended September 30,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340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16"/>
                <w:szCs w:val="16"/>
                <w:color w:val="auto"/>
              </w:rPr>
            </w:pPr>
          </w:p>
        </w:tc>
        <w:tc>
          <w:tcPr>
            <w:tcW w:w="1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gridSpan w:val="2"/>
            <w:vMerge w:val="continue"/>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percentage change)</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242"/>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$1,503.4</w:t>
            </w: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$1,363.9</w:t>
            </w:r>
          </w:p>
        </w:tc>
        <w:tc>
          <w:tcPr>
            <w:tcW w:w="17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$139.5</w:t>
            </w: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10.2%</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1,004.9</w:t>
            </w:r>
          </w:p>
        </w:tc>
        <w:tc>
          <w:tcPr>
            <w:tcW w:w="14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926.6</w:t>
            </w:r>
          </w:p>
        </w:tc>
        <w:tc>
          <w:tcPr>
            <w:tcW w:w="1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78.3</w:t>
            </w:r>
          </w:p>
        </w:tc>
        <w:tc>
          <w:tcPr>
            <w:tcW w:w="14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498.5</w:t>
            </w: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437.3</w:t>
            </w:r>
          </w:p>
        </w:tc>
        <w:tc>
          <w:tcPr>
            <w:tcW w:w="17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61.2</w:t>
            </w: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14.0%</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for the nine months ended September 30, 2026, were $1.5 billion, an increase of $139.5 million, or 10.2%, compared to $1.4 billion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same period of 2025. Please refer to the Net Sales table for a reconciliation of the period over period sales change.</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320" w:type="dxa"/>
            <w:vAlign w:val="bottom"/>
          </w:tcPr>
          <w:p>
            <w:pPr>
              <w:spacing w:after="0"/>
              <w:rPr>
                <w:sz w:val="13"/>
                <w:szCs w:val="1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460" w:type="dxa"/>
            <w:vAlign w:val="bottom"/>
            <w:vMerge w:val="continue"/>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2026, versus September 30, 2025</w:t>
            </w: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13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54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reported sales change</w:t>
            </w:r>
          </w:p>
        </w:tc>
        <w:tc>
          <w:tcPr>
            <w:tcW w:w="1320" w:type="dxa"/>
            <w:vAlign w:val="bottom"/>
            <w:shd w:val="clear" w:color="auto" w:fill="CCEEFF"/>
          </w:tcPr>
          <w:p>
            <w:pPr>
              <w:jc w:val="center"/>
              <w:ind w:left="514"/>
              <w:spacing w:after="0"/>
              <w:rPr>
                <w:sz w:val="20"/>
                <w:szCs w:val="20"/>
                <w:color w:val="auto"/>
              </w:rPr>
            </w:pPr>
            <w:r>
              <w:rPr>
                <w:rFonts w:ascii="Times New Roman" w:cs="Times New Roman" w:eastAsia="Times New Roman" w:hAnsi="Times New Roman"/>
                <w:sz w:val="18"/>
                <w:szCs w:val="18"/>
                <w:b w:val="1"/>
                <w:bCs w:val="1"/>
                <w:color w:val="auto"/>
                <w:w w:val="98"/>
              </w:rPr>
              <w:t>8.5%</w:t>
            </w:r>
          </w:p>
        </w:tc>
        <w:tc>
          <w:tcPr>
            <w:tcW w:w="3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14.0%</w:t>
            </w:r>
          </w:p>
        </w:tc>
        <w:tc>
          <w:tcPr>
            <w:tcW w:w="1380" w:type="dxa"/>
            <w:vAlign w:val="bottom"/>
            <w:shd w:val="clear" w:color="auto" w:fill="CCEEFF"/>
          </w:tcPr>
          <w:p>
            <w:pPr>
              <w:jc w:val="center"/>
              <w:ind w:right="454"/>
              <w:spacing w:after="0"/>
              <w:rPr>
                <w:sz w:val="20"/>
                <w:szCs w:val="20"/>
                <w:color w:val="auto"/>
              </w:rPr>
            </w:pPr>
            <w:r>
              <w:rPr>
                <w:rFonts w:ascii="Times New Roman" w:cs="Times New Roman" w:eastAsia="Times New Roman" w:hAnsi="Times New Roman"/>
                <w:sz w:val="18"/>
                <w:szCs w:val="18"/>
                <w:b w:val="1"/>
                <w:bCs w:val="1"/>
                <w:color w:val="auto"/>
                <w:w w:val="96"/>
              </w:rPr>
              <w:t>10.2%</w:t>
            </w: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effects</w:t>
            </w:r>
          </w:p>
        </w:tc>
        <w:tc>
          <w:tcPr>
            <w:tcW w:w="1320" w:type="dxa"/>
            <w:vAlign w:val="bottom"/>
          </w:tcPr>
          <w:p>
            <w:pPr>
              <w:jc w:val="center"/>
              <w:ind w:left="494"/>
              <w:spacing w:after="0"/>
              <w:rPr>
                <w:sz w:val="20"/>
                <w:szCs w:val="20"/>
                <w:color w:val="auto"/>
              </w:rPr>
            </w:pPr>
            <w:r>
              <w:rPr>
                <w:rFonts w:ascii="Times New Roman" w:cs="Times New Roman" w:eastAsia="Times New Roman" w:hAnsi="Times New Roman"/>
                <w:sz w:val="18"/>
                <w:szCs w:val="18"/>
                <w:color w:val="auto"/>
              </w:rPr>
              <w:t>(1.4)%</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w:t>
            </w:r>
          </w:p>
        </w:tc>
        <w:tc>
          <w:tcPr>
            <w:tcW w:w="1380" w:type="dxa"/>
            <w:vAlign w:val="bottom"/>
          </w:tcPr>
          <w:p>
            <w:pPr>
              <w:jc w:val="center"/>
              <w:ind w:right="454"/>
              <w:spacing w:after="0"/>
              <w:rPr>
                <w:sz w:val="20"/>
                <w:szCs w:val="20"/>
                <w:color w:val="auto"/>
              </w:rPr>
            </w:pPr>
            <w:r>
              <w:rPr>
                <w:rFonts w:ascii="Times New Roman" w:cs="Times New Roman" w:eastAsia="Times New Roman" w:hAnsi="Times New Roman"/>
                <w:sz w:val="18"/>
                <w:szCs w:val="18"/>
                <w:color w:val="auto"/>
                <w:w w:val="96"/>
              </w:rPr>
              <w:t>(2.0)%</w:t>
            </w:r>
          </w:p>
        </w:tc>
        <w:tc>
          <w:tcPr>
            <w:tcW w:w="0" w:type="dxa"/>
            <w:vAlign w:val="bottom"/>
          </w:tcPr>
          <w:p>
            <w:pPr>
              <w:spacing w:after="0"/>
              <w:rPr>
                <w:sz w:val="1"/>
                <w:szCs w:val="1"/>
                <w:color w:val="auto"/>
              </w:rPr>
            </w:pPr>
          </w:p>
        </w:tc>
      </w:tr>
      <w:tr>
        <w:trPr>
          <w:trHeight w:val="24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320" w:type="dxa"/>
            <w:vAlign w:val="bottom"/>
            <w:tcBorders>
              <w:bottom w:val="single" w:sz="8" w:color="auto"/>
            </w:tcBorders>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rPr>
              <w:t>(0.8)%</w:t>
            </w:r>
          </w:p>
        </w:tc>
        <w:tc>
          <w:tcPr>
            <w:tcW w:w="3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1380" w:type="dxa"/>
            <w:vAlign w:val="bottom"/>
            <w:tcBorders>
              <w:bottom w:val="single" w:sz="8" w:color="auto"/>
            </w:tcBorders>
            <w:shd w:val="clear" w:color="auto" w:fill="CCEEFF"/>
          </w:tcPr>
          <w:p>
            <w:pPr>
              <w:jc w:val="center"/>
              <w:ind w:right="454"/>
              <w:spacing w:after="0"/>
              <w:rPr>
                <w:sz w:val="20"/>
                <w:szCs w:val="20"/>
                <w:color w:val="auto"/>
              </w:rPr>
            </w:pPr>
            <w:r>
              <w:rPr>
                <w:rFonts w:ascii="Times New Roman" w:cs="Times New Roman" w:eastAsia="Times New Roman" w:hAnsi="Times New Roman"/>
                <w:sz w:val="18"/>
                <w:szCs w:val="18"/>
                <w:color w:val="auto"/>
                <w:w w:val="96"/>
              </w:rPr>
              <w:t>(4.3)%</w:t>
            </w:r>
          </w:p>
        </w:tc>
        <w:tc>
          <w:tcPr>
            <w:tcW w:w="0" w:type="dxa"/>
            <w:vAlign w:val="bottom"/>
          </w:tcPr>
          <w:p>
            <w:pPr>
              <w:spacing w:after="0"/>
              <w:rPr>
                <w:sz w:val="1"/>
                <w:szCs w:val="1"/>
                <w:color w:val="auto"/>
              </w:rPr>
            </w:pPr>
          </w:p>
        </w:tc>
      </w:tr>
      <w:tr>
        <w:trPr>
          <w:trHeight w:val="23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 change</w:t>
            </w:r>
          </w:p>
        </w:tc>
        <w:tc>
          <w:tcPr>
            <w:tcW w:w="1320" w:type="dxa"/>
            <w:vAlign w:val="bottom"/>
            <w:tcBorders>
              <w:bottom w:val="single" w:sz="8" w:color="auto"/>
            </w:tcBorders>
          </w:tcPr>
          <w:p>
            <w:pPr>
              <w:jc w:val="center"/>
              <w:ind w:left="494"/>
              <w:spacing w:after="0"/>
              <w:rPr>
                <w:sz w:val="20"/>
                <w:szCs w:val="20"/>
                <w:color w:val="auto"/>
              </w:rPr>
            </w:pPr>
            <w:r>
              <w:rPr>
                <w:rFonts w:ascii="Times New Roman" w:cs="Times New Roman" w:eastAsia="Times New Roman" w:hAnsi="Times New Roman"/>
                <w:sz w:val="18"/>
                <w:szCs w:val="18"/>
                <w:color w:val="auto"/>
              </w:rPr>
              <w:t>6.3%</w:t>
            </w: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1380" w:type="dxa"/>
            <w:vAlign w:val="bottom"/>
            <w:tcBorders>
              <w:bottom w:val="single" w:sz="8" w:color="auto"/>
            </w:tcBorders>
          </w:tcPr>
          <w:p>
            <w:pPr>
              <w:jc w:val="center"/>
              <w:ind w:right="454"/>
              <w:spacing w:after="0"/>
              <w:rPr>
                <w:sz w:val="20"/>
                <w:szCs w:val="20"/>
                <w:color w:val="auto"/>
              </w:rPr>
            </w:pPr>
            <w:r>
              <w:rPr>
                <w:rFonts w:ascii="Times New Roman" w:cs="Times New Roman" w:eastAsia="Times New Roman" w:hAnsi="Times New Roman"/>
                <w:sz w:val="18"/>
                <w:szCs w:val="18"/>
                <w:color w:val="auto"/>
                <w:w w:val="95"/>
              </w:rPr>
              <w:t>3.9%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Organic sales change is a non-GAAP financial measure. See the “Non-GAAP Financial Measures” section below.</w:t>
      </w:r>
    </w:p>
    <w:p>
      <w:pPr>
        <w:spacing w:after="0" w:line="176"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Net sales for the Americas segment were $1.0 billion in the nine months ended September 30, 2026, an increase of $78.3 million, or 8.5%, compared to $926.6 million in the same period of 2025. Organic sales in the Americas segment increased 6.3% during the period, driven by growth in all three product groups with high single digit expansion in both detection and industrial PPE. M&amp;C and Autronica added $7.3 million and $0.1 million of sales, respectively, to the Americas segment during the period as compared to prior year.</w:t>
      </w:r>
    </w:p>
    <w:p>
      <w:pPr>
        <w:spacing w:after="0" w:line="126"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Net sales for the International segment were $498.5 million in the nine months ended September 30, 2026, an increase of $61.2 million, or 14.0%, compared to $437.3 million in the same period of 2025. Organic sales in the International segment decreased 1.1% during the period, resulting from declines in detection and fire service largely driven by order timing, economic conditions in Europe, and the conflict in the Middle East, partially offset by growth in industrial PPE, primarily due to higher protective ballistic helmet sales in Europe. M&amp;C and Autronica added $13.3 million and $39.4 million of sales, respectively, to the International segment during the period as compared to prior year.</w:t>
      </w:r>
    </w:p>
    <w:p>
      <w:pPr>
        <w:spacing w:after="0" w:line="129" w:lineRule="exact"/>
        <w:rPr>
          <w:sz w:val="20"/>
          <w:szCs w:val="20"/>
          <w:color w:val="auto"/>
        </w:rPr>
      </w:pPr>
    </w:p>
    <w:p>
      <w:pPr>
        <w:ind w:right="740" w:firstLine="445"/>
        <w:spacing w:after="0" w:line="282" w:lineRule="auto"/>
        <w:rPr>
          <w:sz w:val="20"/>
          <w:szCs w:val="20"/>
          <w:color w:val="auto"/>
        </w:rPr>
      </w:pPr>
      <w:r>
        <w:rPr>
          <w:rFonts w:ascii="Times New Roman" w:cs="Times New Roman" w:eastAsia="Times New Roman" w:hAnsi="Times New Roman"/>
          <w:sz w:val="18"/>
          <w:szCs w:val="18"/>
          <w:color w:val="auto"/>
        </w:rPr>
        <w:t>Refer to Note 9—Segment Information to the unaudited condensed consolidated financial statements in Part I Item 1 of this Form 10-Q, for information regarding sales by product group.</w:t>
      </w:r>
    </w:p>
    <w:p>
      <w:pPr>
        <w:spacing w:after="0" w:line="10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Gross profit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Gross profit for the nine months ended September 30, 2026, was $713.1 million, an increase of $81.4 million or 12.9%, compared to $631.7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the same period of 2025. The ratio of gross profit to net sales was 47.4% during the nine months ended September 30, 2026, compared to 46.3% in the same period of 2025. The increase in gross profit margin is primarily related to price realization, productivity, and favorable transactional foreign currency, partially offset by higher net tariffs and inflation and amortization related to the M&amp;C and Autronica acquisitions.</w:t>
      </w:r>
    </w:p>
    <w:p>
      <w:pPr>
        <w:spacing w:after="0" w:line="12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(“SG&amp;A”) expenses were $354.1 million during the nine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2026, an increase of $45.2 million or 14.6%, compared to $308.9 million in the same period of 2025. Overall, SG&amp;A expenses were 23.6% of net sales during the nine months ended September 30, 2026, compared to 22.6% of net sales in the same period of 2025. SG&amp;A for 2026 includes $15.3 million of additional expenses associated with M&amp;C and Autronica operations as compared to the prior year. SG&amp;A also includes $18.8 million and $10.0 million of strategic transaction and digital transformation costs in the nine months ended 2026 and 2025, respectively. Organic SG&amp;A increased $15.9 million or 5.3%, driven primarily by higher variable compensation, professional service costs, sales incentives, and inflation, partially offset by discretionary expense management.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Please refer to the selling, general, and administrative expenses table for a reconciliation of the period over period expense change.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4"/>
        </w:trPr>
        <w:tc>
          <w:tcPr>
            <w:tcW w:w="7520" w:type="dxa"/>
            <w:vAlign w:val="bottom"/>
            <w:vMerge w:val="continue"/>
          </w:tcPr>
          <w:p>
            <w:pPr>
              <w:spacing w:after="0"/>
              <w:rPr>
                <w:sz w:val="16"/>
                <w:szCs w:val="16"/>
                <w:color w:val="auto"/>
              </w:rPr>
            </w:pPr>
          </w:p>
        </w:tc>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2026, versus September 30, 2025</w:t>
            </w:r>
          </w:p>
        </w:tc>
        <w:tc>
          <w:tcPr>
            <w:tcW w:w="0" w:type="dxa"/>
            <w:vAlign w:val="bottom"/>
          </w:tcPr>
          <w:p>
            <w:pPr>
              <w:spacing w:after="0"/>
              <w:rPr>
                <w:sz w:val="1"/>
                <w:szCs w:val="1"/>
                <w:color w:val="auto"/>
              </w:rPr>
            </w:pPr>
          </w:p>
        </w:tc>
      </w:tr>
      <w:tr>
        <w:trPr>
          <w:trHeight w:val="193"/>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7520" w:type="dxa"/>
            <w:vAlign w:val="bottom"/>
            <w:tcBorders>
              <w:bottom w:val="single" w:sz="8" w:color="CCEEFF"/>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reported change</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14.6%</w:t>
            </w:r>
          </w:p>
        </w:tc>
        <w:tc>
          <w:tcPr>
            <w:tcW w:w="0" w:type="dxa"/>
            <w:vAlign w:val="bottom"/>
          </w:tcPr>
          <w:p>
            <w:pPr>
              <w:spacing w:after="0"/>
              <w:rPr>
                <w:sz w:val="1"/>
                <w:szCs w:val="1"/>
                <w:color w:val="auto"/>
              </w:rPr>
            </w:pP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effects</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and related strategic transaction and digital transformation costs</w:t>
            </w:r>
          </w:p>
        </w:tc>
        <w:tc>
          <w:tcPr>
            <w:tcW w:w="3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7"/>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 change</w:t>
            </w:r>
          </w:p>
        </w:tc>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Note: Organic SG&amp;A change is a non-GAAP financial measure. See the “Non-GAAP Financial Measures” section below.</w:t>
      </w:r>
    </w:p>
    <w:p>
      <w:pPr>
        <w:spacing w:after="0" w:line="267"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and development expense was $55.5 million during the nine months ended September 30, 2026, an increase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$6.3 million, compared to $49.2 million in the same period of 2025. Research and development expense was 3.7% of net sales in the nine months ended September 30, 2026, and 3.6% of net sales in the same period of 2025.</w:t>
      </w:r>
    </w:p>
    <w:p>
      <w:pPr>
        <w:spacing w:after="0" w:line="121"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and 2025, we capitalized $11.9 million and $10.4 million of software development costs, respectively. Amortization expense for capitalized software development costs of $10.0 million and $8.8 million during the nine months ended September 30, 2026, and 2025, respectively, was recorded in costs of products sold on the unaudited Condensed Consolidated Statements of Income.</w:t>
      </w:r>
    </w:p>
    <w:p>
      <w:pPr>
        <w:spacing w:after="0" w:line="122" w:lineRule="exact"/>
        <w:rPr>
          <w:sz w:val="20"/>
          <w:szCs w:val="20"/>
          <w:color w:val="auto"/>
        </w:rPr>
      </w:pPr>
    </w:p>
    <w:p>
      <w:pPr>
        <w:ind w:right="20" w:firstLine="445"/>
        <w:spacing w:after="0" w:line="244" w:lineRule="auto"/>
        <w:rPr>
          <w:sz w:val="20"/>
          <w:szCs w:val="20"/>
          <w:color w:val="auto"/>
        </w:rPr>
      </w:pPr>
      <w:r>
        <w:rPr>
          <w:rFonts w:ascii="Times New Roman" w:cs="Times New Roman" w:eastAsia="Times New Roman" w:hAnsi="Times New Roman"/>
          <w:sz w:val="18"/>
          <w:szCs w:val="18"/>
          <w:color w:val="auto"/>
        </w:rPr>
        <w:t>The Company's commitment to innovation is supported by a research and development pipeline focused on integrating advanced technology into core safety equipment including the recently introduced G1 City Edition SCBA with integrated LUNAR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Beacon Technology. Approximately half of MSA’s R&amp;D engineers are now focused on software development to support the expansion of its connected ecosystems and HeSaaS models. As we continue to invest a significant portion of our new product development into technology-based safety solutions, we anticipate that the historical relationship of research and development expense to net sales will continue to evolve; however, we do not anticipate reductions in the relative level of total spend on research and development activities on an annual basis. Total spend on both software development and research and development activities was $67.4 million and $59.6 million during the nine months ended September 30, 2026, and 2025, respectively.</w:t>
      </w:r>
    </w:p>
    <w:p>
      <w:pPr>
        <w:spacing w:after="0" w:line="139"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Restructuring charges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Restructuring charges of $6.3 million during the nine months ended September 30, 2026, were primarily related to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restructuring, footprint optimization, and other ongoing initiatives to right-size the organization in response to macroeconomic conditions. Restructuring charges of $2.5 million in the same period of 2025 were primarily related to initiatives to right-size the organization in response to macroeconomic conditions, optimize our manufacturing footprint, and improve productivity.</w:t>
      </w:r>
    </w:p>
    <w:p>
      <w:pPr>
        <w:spacing w:after="0" w:line="12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Currency exchange losses, net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Currency exchange losses were $4.0 million during the nine months ended September 30, 2026, compared to $13.2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same period of 2025. The currency exchange activity for both periods related primarily to foreign currency exposure on unsettled inter-company balances. Refer to Note 17—Derivative Financial Instruments to the unaudited condensed consolidated financial statements in Part I Item 1 of this Form 10-Q, for information regarding our currency exchange rate risk management strategy.</w:t>
      </w:r>
    </w:p>
    <w:p>
      <w:pPr>
        <w:spacing w:after="0" w:line="12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GAAP operating income. </w:t>
      </w:r>
      <w:r>
        <w:rPr>
          <w:rFonts w:ascii="Times New Roman" w:cs="Times New Roman" w:eastAsia="Times New Roman" w:hAnsi="Times New Roman"/>
          <w:sz w:val="18"/>
          <w:szCs w:val="18"/>
          <w:color w:val="auto"/>
        </w:rPr>
        <w:t>Consolidated operating income for the nine months ended September 30, 2026, was $293.2 million compared to $257.9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same period of 2025. The increase in operating results was primarily driven by higher gross profit and lower currency exchange losses, partially offset by inflation and higher SG&amp;A and restructuring charges as discussed further above.</w:t>
      </w:r>
    </w:p>
    <w:p>
      <w:pPr>
        <w:spacing w:after="0" w:line="11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operating income. </w:t>
      </w:r>
      <w:r>
        <w:rPr>
          <w:rFonts w:ascii="Times New Roman" w:cs="Times New Roman" w:eastAsia="Times New Roman" w:hAnsi="Times New Roman"/>
          <w:sz w:val="18"/>
          <w:szCs w:val="18"/>
          <w:color w:val="auto"/>
        </w:rPr>
        <w:t>Americas adjusted operating income for the nine months ended September 30, 2026, was $303.9 million, an increase of $43.2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16.6%, compared to $260.7 million in the same period of 2025. The increase in adjusted operating income is attributable to increased sales and higher gross profit driven by price realization, productivity, and favorable transactional foreign currency, partially offset by higher SG&amp;A expenses and inflation.</w:t>
      </w:r>
    </w:p>
    <w:p>
      <w:pPr>
        <w:spacing w:after="0" w:line="126"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International adjusted operating income was $71.4 million, an increase of $7.7 million, or 12.1%, compared to $63.7 million in the same period of 2025. The increase was driven by increased sales and the contribution from Autronica and M&amp;C partially offset by slightly higher SG&amp;A expenses.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Corporate expense for the nine months ended September 30, 2026, was $38.1 million, an increase of $6.4 million compared to $31.7 million in the same period of 2025, driven by increased variable compensation, increased professional service fees and inflation, partially offset by discretionary expense management.</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a summary of adjusted operating income (loss), adjusted operating margin %, adjusted EBITDA and adjusted EBITDA</w:t>
      </w:r>
    </w:p>
    <w:p>
      <w:pPr>
        <w:spacing w:after="0" w:line="27" w:lineRule="exact"/>
        <w:rPr>
          <w:sz w:val="20"/>
          <w:szCs w:val="20"/>
          <w:color w:val="auto"/>
        </w:rPr>
      </w:pPr>
    </w:p>
    <w:p>
      <w:pPr>
        <w:ind w:right="280" w:firstLine="8"/>
        <w:spacing w:after="0" w:line="260" w:lineRule="auto"/>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margin % is calculated as adjusted operating income (loss) divided by net sales and adjusted EBITDA margin % is calculated as adjusted EBITDA divided by net sales.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3"/>
                <w:szCs w:val="13"/>
                <w:color w:val="auto"/>
              </w:rPr>
            </w:pPr>
          </w:p>
        </w:tc>
        <w:tc>
          <w:tcPr>
            <w:tcW w:w="124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80" w:type="dxa"/>
            <w:vAlign w:val="bottom"/>
          </w:tcPr>
          <w:p>
            <w:pPr>
              <w:spacing w:after="0"/>
              <w:rPr>
                <w:sz w:val="13"/>
                <w:szCs w:val="13"/>
                <w:color w:val="auto"/>
              </w:rPr>
            </w:pPr>
          </w:p>
        </w:tc>
        <w:tc>
          <w:tcPr>
            <w:tcW w:w="13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40" w:type="dxa"/>
            <w:vAlign w:val="bottom"/>
          </w:tcPr>
          <w:p>
            <w:pPr>
              <w:spacing w:after="0"/>
              <w:rPr>
                <w:sz w:val="13"/>
                <w:szCs w:val="13"/>
                <w:color w:val="auto"/>
              </w:rPr>
            </w:pPr>
          </w:p>
        </w:tc>
        <w:tc>
          <w:tcPr>
            <w:tcW w:w="15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 Reportable</w:t>
            </w:r>
          </w:p>
        </w:tc>
        <w:tc>
          <w:tcPr>
            <w:tcW w:w="126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3"/>
                <w:szCs w:val="13"/>
                <w:color w:val="auto"/>
              </w:rPr>
            </w:pPr>
          </w:p>
        </w:tc>
        <w:tc>
          <w:tcPr>
            <w:tcW w:w="112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09"/>
        </w:trPr>
        <w:tc>
          <w:tcPr>
            <w:tcW w:w="30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520" w:type="dxa"/>
            <w:vAlign w:val="bottom"/>
            <w:vMerge w:val="restart"/>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2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080" w:type="dxa"/>
            <w:vAlign w:val="bottom"/>
            <w:tcBorders>
              <w:bottom w:val="single" w:sz="8" w:color="auto"/>
            </w:tcBorders>
            <w:vMerge w:val="continue"/>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vMerge w:val="continue"/>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1,004,935</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498,454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1,503,389</w:t>
            </w:r>
          </w:p>
        </w:tc>
        <w:tc>
          <w:tcPr>
            <w:tcW w:w="126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1,503,389</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operating income</w:t>
            </w:r>
          </w:p>
        </w:tc>
        <w:tc>
          <w:tcPr>
            <w:tcW w:w="8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293,208</w:t>
            </w: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income (loss)</w:t>
            </w:r>
          </w:p>
        </w:tc>
        <w:tc>
          <w:tcPr>
            <w:tcW w:w="8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303,880</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71,427</w:t>
            </w:r>
          </w:p>
        </w:tc>
        <w:tc>
          <w:tcPr>
            <w:tcW w:w="2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375,307</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(38,138)</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337,169</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margin %</w:t>
            </w:r>
          </w:p>
        </w:tc>
        <w:tc>
          <w:tcPr>
            <w:tcW w:w="8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240" w:type="dxa"/>
            <w:vAlign w:val="bottom"/>
          </w:tcPr>
          <w:p>
            <w:pPr>
              <w:spacing w:after="0"/>
              <w:rPr>
                <w:sz w:val="21"/>
                <w:szCs w:val="21"/>
                <w:color w:val="auto"/>
              </w:rPr>
            </w:pPr>
          </w:p>
        </w:tc>
        <w:tc>
          <w:tcPr>
            <w:tcW w:w="15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25.0 %</w:t>
            </w: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8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334,480</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87,079</w:t>
            </w:r>
          </w:p>
        </w:tc>
        <w:tc>
          <w:tcPr>
            <w:tcW w:w="2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421,559</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(38,138)</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383,421</w:t>
            </w:r>
          </w:p>
        </w:tc>
        <w:tc>
          <w:tcPr>
            <w:tcW w:w="0" w:type="dxa"/>
            <w:vAlign w:val="bottom"/>
          </w:tcPr>
          <w:p>
            <w:pPr>
              <w:spacing w:after="0"/>
              <w:rPr>
                <w:sz w:val="1"/>
                <w:szCs w:val="1"/>
                <w:color w:val="auto"/>
              </w:rPr>
            </w:pPr>
          </w:p>
        </w:tc>
      </w:tr>
      <w:tr>
        <w:trPr>
          <w:trHeight w:val="243"/>
        </w:trPr>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EBITDA %</w:t>
            </w:r>
          </w:p>
        </w:tc>
        <w:tc>
          <w:tcPr>
            <w:tcW w:w="8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28.0 %</w:t>
            </w:r>
          </w:p>
        </w:tc>
        <w:tc>
          <w:tcPr>
            <w:tcW w:w="12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8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926,649</w:t>
            </w:r>
          </w:p>
        </w:tc>
        <w:tc>
          <w:tcPr>
            <w:tcW w:w="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437,251</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1,363,900</w:t>
            </w:r>
          </w:p>
        </w:tc>
        <w:tc>
          <w:tcPr>
            <w:tcW w:w="12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1,363,900</w:t>
            </w: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operating income</w:t>
            </w:r>
          </w:p>
        </w:tc>
        <w:tc>
          <w:tcPr>
            <w:tcW w:w="8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257,933</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 (loss)</w:t>
            </w:r>
          </w:p>
        </w:tc>
        <w:tc>
          <w:tcPr>
            <w:tcW w:w="880" w:type="dxa"/>
            <w:vAlign w:val="bottom"/>
          </w:tcPr>
          <w:p>
            <w:pPr>
              <w:spacing w:after="0"/>
              <w:rPr>
                <w:sz w:val="21"/>
                <w:szCs w:val="21"/>
                <w:color w:val="auto"/>
              </w:rPr>
            </w:pP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260,694</w:t>
            </w:r>
          </w:p>
        </w:tc>
        <w:tc>
          <w:tcPr>
            <w:tcW w:w="280" w:type="dxa"/>
            <w:vAlign w:val="bottom"/>
          </w:tcPr>
          <w:p>
            <w:pPr>
              <w:spacing w:after="0"/>
              <w:rPr>
                <w:sz w:val="21"/>
                <w:szCs w:val="21"/>
                <w:color w:val="auto"/>
              </w:rPr>
            </w:pP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63,699</w:t>
            </w:r>
          </w:p>
        </w:tc>
        <w:tc>
          <w:tcPr>
            <w:tcW w:w="240" w:type="dxa"/>
            <w:vAlign w:val="bottom"/>
          </w:tcPr>
          <w:p>
            <w:pPr>
              <w:spacing w:after="0"/>
              <w:rPr>
                <w:sz w:val="21"/>
                <w:szCs w:val="21"/>
                <w:color w:val="auto"/>
              </w:rPr>
            </w:pPr>
          </w:p>
        </w:tc>
        <w:tc>
          <w:tcPr>
            <w:tcW w:w="152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324,393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(31,718)</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292,675</w:t>
            </w: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margin %</w:t>
            </w:r>
          </w:p>
        </w:tc>
        <w:tc>
          <w:tcPr>
            <w:tcW w:w="8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2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23.8 %</w:t>
            </w:r>
          </w:p>
        </w:tc>
        <w:tc>
          <w:tcPr>
            <w:tcW w:w="1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880" w:type="dxa"/>
            <w:vAlign w:val="bottom"/>
          </w:tcPr>
          <w:p>
            <w:pPr>
              <w:spacing w:after="0"/>
              <w:rPr>
                <w:sz w:val="21"/>
                <w:szCs w:val="21"/>
                <w:color w:val="auto"/>
              </w:rPr>
            </w:pP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290,434</w:t>
            </w:r>
          </w:p>
        </w:tc>
        <w:tc>
          <w:tcPr>
            <w:tcW w:w="280" w:type="dxa"/>
            <w:vAlign w:val="bottom"/>
          </w:tcPr>
          <w:p>
            <w:pPr>
              <w:spacing w:after="0"/>
              <w:rPr>
                <w:sz w:val="21"/>
                <w:szCs w:val="21"/>
                <w:color w:val="auto"/>
              </w:rPr>
            </w:pP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77,217</w:t>
            </w:r>
          </w:p>
        </w:tc>
        <w:tc>
          <w:tcPr>
            <w:tcW w:w="240" w:type="dxa"/>
            <w:vAlign w:val="bottom"/>
          </w:tcPr>
          <w:p>
            <w:pPr>
              <w:spacing w:after="0"/>
              <w:rPr>
                <w:sz w:val="21"/>
                <w:szCs w:val="21"/>
                <w:color w:val="auto"/>
              </w:rPr>
            </w:pPr>
          </w:p>
        </w:tc>
        <w:tc>
          <w:tcPr>
            <w:tcW w:w="152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367,651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(30,739)</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336,912</w:t>
            </w:r>
          </w:p>
        </w:tc>
        <w:tc>
          <w:tcPr>
            <w:tcW w:w="0" w:type="dxa"/>
            <w:vAlign w:val="bottom"/>
          </w:tcPr>
          <w:p>
            <w:pPr>
              <w:spacing w:after="0"/>
              <w:rPr>
                <w:sz w:val="1"/>
                <w:szCs w:val="1"/>
                <w:color w:val="auto"/>
              </w:rPr>
            </w:pPr>
          </w:p>
        </w:tc>
      </w:tr>
      <w:tr>
        <w:trPr>
          <w:trHeight w:val="243"/>
        </w:trPr>
        <w:tc>
          <w:tcPr>
            <w:tcW w:w="3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w:t>
            </w:r>
          </w:p>
        </w:tc>
        <w:tc>
          <w:tcPr>
            <w:tcW w:w="8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2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27.0 %</w:t>
            </w:r>
          </w:p>
        </w:tc>
        <w:tc>
          <w:tcPr>
            <w:tcW w:w="12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0" w:right="420"/>
        <w:spacing w:after="0" w:line="216" w:lineRule="auto"/>
        <w:rPr>
          <w:sz w:val="20"/>
          <w:szCs w:val="20"/>
          <w:color w:val="auto"/>
        </w:rPr>
      </w:pPr>
      <w:r>
        <w:rPr>
          <w:rFonts w:ascii="Times New Roman" w:cs="Times New Roman" w:eastAsia="Times New Roman" w:hAnsi="Times New Roman"/>
          <w:sz w:val="18"/>
          <w:szCs w:val="18"/>
          <w:color w:val="auto"/>
        </w:rPr>
        <w:t>Note: Adjusted operating income (loss), adjusted operating margin %, adjusted EBITDA and Adjusted EBITDA margin % are non-GAAP financial measures and operating ratios derived from non-GAAP financial measures. Refer to Note 9—Segment Information to the unaudited condensed consolidated financial statements in Part I Item 1 of this Form 10-Q for reconciliation of total adjusted operating income from reportable segments to</w:t>
      </w:r>
    </w:p>
    <w:p>
      <w:pPr>
        <w:spacing w:after="0" w:line="1" w:lineRule="exact"/>
        <w:rPr>
          <w:sz w:val="20"/>
          <w:szCs w:val="20"/>
          <w:color w:val="auto"/>
        </w:rPr>
      </w:pPr>
    </w:p>
    <w:p>
      <w:pPr>
        <w:ind w:left="20" w:right="460"/>
        <w:spacing w:after="0" w:line="226" w:lineRule="auto"/>
        <w:rPr>
          <w:sz w:val="20"/>
          <w:szCs w:val="20"/>
          <w:color w:val="auto"/>
        </w:rPr>
      </w:pPr>
      <w:r>
        <w:rPr>
          <w:rFonts w:ascii="Times New Roman" w:cs="Times New Roman" w:eastAsia="Times New Roman" w:hAnsi="Times New Roman"/>
          <w:sz w:val="18"/>
          <w:szCs w:val="18"/>
          <w:color w:val="auto"/>
        </w:rPr>
        <w:t>income before income taxes and table below for reconciliation of adjusted EBITDA to net income. See also the “Non-GAAP Financial Information” section below.</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reconciliation of total adjusted EBITDA and total adjusted operating income from reportable segments to net income is presented in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6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8"/>
                <w:szCs w:val="18"/>
                <w:color w:val="auto"/>
              </w:rPr>
            </w:pPr>
          </w:p>
        </w:tc>
        <w:tc>
          <w:tcPr>
            <w:tcW w:w="128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from reportable segments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421,559</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367,651</w:t>
            </w: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46,252</w:t>
            </w:r>
          </w:p>
        </w:tc>
        <w:tc>
          <w:tcPr>
            <w:tcW w:w="1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43,258</w:t>
            </w:r>
          </w:p>
        </w:tc>
      </w:tr>
      <w:tr>
        <w:trPr>
          <w:trHeight w:val="237"/>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 from reportable segments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375,307</w:t>
            </w:r>
          </w:p>
        </w:tc>
        <w:tc>
          <w:tcPr>
            <w:tcW w:w="1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324,393</w:t>
            </w:r>
          </w:p>
        </w:tc>
      </w:tr>
      <w:tr>
        <w:trPr>
          <w:trHeight w:val="24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3"/>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expenses</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31,718</w:t>
            </w:r>
          </w:p>
        </w:tc>
      </w:tr>
      <w:tr>
        <w:trPr>
          <w:trHeight w:val="243"/>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Currency exchange losses, net</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13,237</w:t>
            </w:r>
          </w:p>
        </w:tc>
      </w:tr>
      <w:tr>
        <w:trPr>
          <w:trHeight w:val="243"/>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charges (Note 4)</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w:t>
            </w:r>
          </w:p>
        </w:tc>
      </w:tr>
      <w:tr>
        <w:trPr>
          <w:trHeight w:val="243"/>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Acquisition-related amortization</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14,841</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9,033</w:t>
            </w:r>
          </w:p>
        </w:tc>
      </w:tr>
      <w:tr>
        <w:trPr>
          <w:trHeight w:val="243"/>
        </w:trPr>
        <w:tc>
          <w:tcPr>
            <w:tcW w:w="7820" w:type="dxa"/>
            <w:vAlign w:val="bottom"/>
            <w:tcBorders>
              <w:bottom w:val="single" w:sz="8" w:color="CCEEFF"/>
            </w:tcBorders>
          </w:tcPr>
          <w:p>
            <w:pPr>
              <w:ind w:left="240"/>
              <w:spacing w:after="0" w:line="243" w:lineRule="exact"/>
              <w:rPr>
                <w:sz w:val="20"/>
                <w:szCs w:val="20"/>
                <w:color w:val="auto"/>
              </w:rPr>
            </w:pPr>
            <w:r>
              <w:rPr>
                <w:rFonts w:ascii="Times New Roman" w:cs="Times New Roman" w:eastAsia="Times New Roman" w:hAnsi="Times New Roman"/>
                <w:sz w:val="18"/>
                <w:szCs w:val="18"/>
                <w:color w:val="auto"/>
              </w:rPr>
              <w:t>Transaction and digital transformation costs</w:t>
            </w:r>
            <w:r>
              <w:rPr>
                <w:rFonts w:ascii="Times New Roman" w:cs="Times New Roman" w:eastAsia="Times New Roman" w:hAnsi="Times New Roman"/>
                <w:sz w:val="23"/>
                <w:szCs w:val="23"/>
                <w:color w:val="auto"/>
                <w:vertAlign w:val="superscript"/>
              </w:rPr>
              <w:t>(a)</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18,831</w:t>
            </w:r>
          </w:p>
        </w:tc>
        <w:tc>
          <w:tcPr>
            <w:tcW w:w="1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10,002</w:t>
            </w:r>
          </w:p>
        </w:tc>
      </w:tr>
      <w:tr>
        <w:trPr>
          <w:trHeight w:val="23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operating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293,208</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257,933</w:t>
            </w: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29,413</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23,368</w:t>
            </w:r>
          </w:p>
        </w:tc>
      </w:tr>
      <w:tr>
        <w:trPr>
          <w:trHeight w:val="243"/>
        </w:trPr>
        <w:tc>
          <w:tcPr>
            <w:tcW w:w="7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(22,538)</w:t>
            </w:r>
          </w:p>
        </w:tc>
        <w:tc>
          <w:tcPr>
            <w:tcW w:w="1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(18,585)</w:t>
            </w:r>
          </w:p>
        </w:tc>
      </w:tr>
      <w:tr>
        <w:trPr>
          <w:trHeight w:val="23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286,333</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253,150</w:t>
            </w:r>
          </w:p>
        </w:tc>
      </w:tr>
      <w:tr>
        <w:trPr>
          <w:trHeight w:val="24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70,474</w:t>
            </w:r>
          </w:p>
        </w:tc>
        <w:tc>
          <w:tcPr>
            <w:tcW w:w="1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61,159</w:t>
            </w:r>
          </w:p>
        </w:tc>
      </w:tr>
      <w:tr>
        <w:trPr>
          <w:trHeight w:val="23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215,859</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191,991</w:t>
            </w:r>
          </w:p>
        </w:tc>
      </w:tr>
    </w:tbl>
    <w:p>
      <w:pPr>
        <w:spacing w:after="0" w:line="49" w:lineRule="exact"/>
        <w:rPr>
          <w:sz w:val="20"/>
          <w:szCs w:val="20"/>
          <w:color w:val="auto"/>
        </w:rPr>
      </w:pPr>
    </w:p>
    <w:p>
      <w:pPr>
        <w:ind w:left="20" w:right="120" w:firstLine="6"/>
        <w:spacing w:after="0" w:line="218" w:lineRule="auto"/>
        <w:tabs>
          <w:tab w:leader="none" w:pos="194"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Transaction and digital transformation costs include advisory, legal, accounting, valuation, and other professional or consulting fees incurred during our evaluation of or in connection with acquisitions and divestitures as well as costs associated with strategic digital transformation efforts. These costs are included in Selling, general and administrative expense in the unaudited Condensed Consolidated Statements of Income.</w:t>
      </w:r>
    </w:p>
    <w:p>
      <w:pPr>
        <w:spacing w:after="0" w:line="370" w:lineRule="exact"/>
        <w:rPr>
          <w:sz w:val="20"/>
          <w:szCs w:val="20"/>
          <w:color w:val="auto"/>
        </w:rPr>
      </w:pPr>
    </w:p>
    <w:p>
      <w:pPr>
        <w:jc w:val="both"/>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Total other expense, net. </w:t>
      </w:r>
      <w:r>
        <w:rPr>
          <w:rFonts w:ascii="Times New Roman" w:cs="Times New Roman" w:eastAsia="Times New Roman" w:hAnsi="Times New Roman"/>
          <w:sz w:val="18"/>
          <w:szCs w:val="18"/>
          <w:color w:val="auto"/>
        </w:rPr>
        <w:t>Total other expense for the nine months ended September 30, 2026, was $6.9 million, compared to $4.8 million in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of 2025. The increase was primarily related to higher interest expense driven by increased borrowings for the Autronica acquisition and higher interest rates partially offset by increased pension income, a result of higher expected return on plan assets.</w:t>
      </w:r>
    </w:p>
    <w:p>
      <w:pPr>
        <w:spacing w:after="0" w:line="117"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The reported effective tax rate for the nine months ended September 30, 2026, was 24.6% compared to 24.2% in the same period of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increase from the prior year was primarily driven by additional expense associated with increased profitability in high tax jurisdictions and nondeductible transaction costs, partially offset by benefits related to export sales.</w:t>
      </w:r>
    </w:p>
    <w:p>
      <w:pPr>
        <w:spacing w:after="0" w:line="121"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We are subject to regular review and audit by both foreign and domestic tax authorities. While we believe our tax positions will be sustained, the final outcome of tax audits and related litigation may differ materially from the tax amounts recorded in our unaudited condensed consolidated financial statements.</w:t>
      </w:r>
    </w:p>
    <w:p>
      <w:pPr>
        <w:spacing w:after="0" w:line="11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income was $215.9 million for the nine months ended September 30, 2026, or $5.57 per diluted share, an increase of approximately 12%,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net income of $192.0 million, or $4.87 per diluted share, in the same period of 2025.</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ind w:right="440" w:firstLine="405"/>
        <w:spacing w:after="0" w:line="266" w:lineRule="auto"/>
        <w:rPr>
          <w:sz w:val="20"/>
          <w:szCs w:val="20"/>
          <w:color w:val="auto"/>
        </w:rPr>
      </w:pPr>
      <w:r>
        <w:rPr>
          <w:rFonts w:ascii="Times New Roman" w:cs="Times New Roman" w:eastAsia="Times New Roman" w:hAnsi="Times New Roman"/>
          <w:sz w:val="18"/>
          <w:szCs w:val="18"/>
          <w:color w:val="auto"/>
        </w:rPr>
        <w:t>This report includes certain non-GAAP financial measures and operating ratios derived from non-GAAP financial measures. These financial measures and ratios include organic (referred to in our historical filings as constant currency) sales change, organic SG&amp;A change, adjusted operating income, adjusted operating margin %, adjusted EBITDA, and adjusted EBITDA margin %.</w:t>
      </w:r>
    </w:p>
    <w:p>
      <w:pPr>
        <w:spacing w:after="0" w:line="12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Organic sales and SG&amp;A change are non-GAAP financial measures provided by the Company to give a better understanding of the Company's underlying business performance. Organic sales and SG&amp;A change are calculated by deducting the percentage impact from currency translation effects as well as the impact from acquisitions and divestitures completed in the preceding 12 months from the overall percentage change in net sales and SG&amp;A. The Company believes that organic sales and SG&amp;A change are useful metrics for investors, as foreign currency translation can have a material impact on revenue and SG&amp;A trends. Organic sales and SG&amp;A change highlight ongoing business performance, excluding the impact of fluctuating foreign currencies, acquisitions, and divestitures.</w:t>
      </w:r>
    </w:p>
    <w:p>
      <w:pPr>
        <w:spacing w:after="0" w:line="133"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Adjusted operating income, adjusted operating margin %, adjusted EBITDA, and adjusted EBITDA margin % are non-GAAP financial measures and operating ratios derived from non-GAAP measures. Total reportable segment adjusted operating income is reconciled above to the nearest GAAP financial measure, operating income, and excludes restructuring charges, currency exchange, transaction and digital transformation costs, and acquisition-related amortization. Total reportable segment adjusted EBITDA is reconciled above to the nearest GAAP financial measure, net income, and, in addition to the items summarized above that are excluded from adjusted operating income (loss), excludes depreciation and amortization expense; interest expense; other income, net; and provision for income taxes. Adjusted operating margin % is defined as adjusted operating income (loss) divided by net sales to external customers and adjusted EBITDA margin % is defined as adjusted EBITDA divided by net sales to external customers. Management uses these measures internally to assess and better understand our underlying business performance and trends related to core business activities as well as to make strategic decisions about the business and allocate resources. Additionally, these non-GAAP financial measures provide information useful to investors in understanding our operating performance and trends, and to facilitate comparisons with the performance of our peers.</w:t>
      </w:r>
    </w:p>
    <w:p>
      <w:pPr>
        <w:spacing w:after="0" w:line="140"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non-GAAP financial measures and key performance indicators we use, and computational methods with respect thereto, may differ from the non-GAAP financial measures and key performance indicators, and computational methods, that our peers use to assess their performance and trends. The presentation of these non-GAAP financial measures does not comply with U.S. GAAP. These non-GAAP financial measures should be viewed as supplemental in nature, and not as a substitute for, or superior to, our reported results prepared in accordance with GAAP.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Our main source of liquidity is operating cash flows, supplemented by borrowings. Our principal liquidity requirements are for working capital, capital expenditures, principal and interest payments on debt, dividend payments and share repurchases. At September 30, 2026, approximately 26% of our long-term debt is at fixed interest rates with repayment schedules through 2036. The remainder of our long-term debt is at variable rates on an unsecured revolving credit facility due in 2030. At September 30, 2026, approximately 91% of our borrowings are denominated in U.S. dollars, which limits our exposure to currency exchange rate fluctuations.</w:t>
      </w:r>
    </w:p>
    <w:p>
      <w:pPr>
        <w:spacing w:after="0" w:line="129"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We believe MSA's healthy balance sheet and access to significant capital at September 30, 2026, positions us well to navigate through a dynamic operating environment and other unexpected events. We maintain a balanced capital deployment strategy that focuses on investing for organic growth and pursuing inorganic growth opportunities, returning cash to shareholders in the form of dividends and share buybacks.</w:t>
      </w:r>
    </w:p>
    <w:p>
      <w:pPr>
        <w:spacing w:after="0" w:line="122" w:lineRule="exact"/>
        <w:rPr>
          <w:sz w:val="20"/>
          <w:szCs w:val="20"/>
          <w:color w:val="auto"/>
        </w:rPr>
      </w:pPr>
    </w:p>
    <w:p>
      <w:pPr>
        <w:ind w:right="180" w:firstLine="445"/>
        <w:spacing w:after="0" w:line="254" w:lineRule="auto"/>
        <w:rPr>
          <w:sz w:val="20"/>
          <w:szCs w:val="20"/>
          <w:color w:val="auto"/>
        </w:rPr>
      </w:pPr>
      <w:r>
        <w:rPr>
          <w:rFonts w:ascii="Times New Roman" w:cs="Times New Roman" w:eastAsia="Times New Roman" w:hAnsi="Times New Roman"/>
          <w:sz w:val="18"/>
          <w:szCs w:val="18"/>
          <w:color w:val="auto"/>
        </w:rPr>
        <w:t>At September 30, 2026, the Company had cash and cash equivalents totaling $187.2 million. Cash and cash equivalents increased $22.2 million during the nine months ended September 30, 2026, compared to increasing $5.4 million during the same period in 2025. At September 30, 2026, $465.0 million of the existing $1.3 billion revolving credit facility was unused, including letters of credit issued under the facility. The facility also provides an accordion feature that allows the Company to access an additional $500.0 million of capacity pending approval by MSA’s board of directors and from the bank group. The Company also has access under the Prudential Note Agreement and NYL Note Facility, subject to the issuers' acceptance, 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$195.0 million and $50.0 million aggregate principal amount, respectively, of senior unsecured notes.</w:t>
      </w:r>
    </w:p>
    <w:p>
      <w:pPr>
        <w:spacing w:after="0" w:line="149" w:lineRule="exact"/>
        <w:rPr>
          <w:sz w:val="20"/>
          <w:szCs w:val="20"/>
          <w:color w:val="auto"/>
        </w:rPr>
      </w:pPr>
    </w:p>
    <w:p>
      <w:pPr>
        <w:ind w:right="120" w:firstLine="44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Operating activities provided cash of $253.4 million during the nine months ended September 30, 2026, compared to $241.5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during the same period in 2025. The increased cash flow from operating activities was primarily related to higher operating results. Increased cash from working capital was offset by higher cash used for income taxes and other liabilities as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80" w:firstLine="44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Investing activities used cash of $600.4 million during the nine months ended September 30, 2026, compared to using $239.9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during the same period in 2025. The acquisition of Autronica for $563.1 million and capital expenditures drove cash outflows from investing activities during the nine months ended September 30, 2026. The acquisition of M&amp;C for $187.8 million and capital expenditures, including a $19.6 million strategic footprint investment, drove the cash used in investing activities for the nine months ended September 30, 2025</w:t>
      </w:r>
      <w:r>
        <w:rPr>
          <w:rFonts w:ascii="Times New Roman" w:cs="Times New Roman" w:eastAsia="Times New Roman" w:hAnsi="Times New Roman"/>
          <w:sz w:val="16"/>
          <w:szCs w:val="16"/>
          <w:color w:val="auto"/>
        </w:rPr>
        <w:t>. W</w:t>
      </w:r>
      <w:r>
        <w:rPr>
          <w:rFonts w:ascii="Times New Roman" w:cs="Times New Roman" w:eastAsia="Times New Roman" w:hAnsi="Times New Roman"/>
          <w:sz w:val="18"/>
          <w:szCs w:val="18"/>
          <w:color w:val="auto"/>
        </w:rPr>
        <w:t>e remain committed to evaluating acquisition opportunities which would enable us to continue to grow in key end markets and geographies, and have a robust pipeline.</w:t>
      </w:r>
    </w:p>
    <w:p>
      <w:pPr>
        <w:spacing w:after="0" w:line="125"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Financing activities provided cash of $382.0 million during the nine months ended September 30, 2026, compared to $2.2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during the same period in 2025. During the nine months ended September 30, 2026, we had net proceeds on long-term debt of $542.5 million used primarily to fund the Autronica acquisition as compared to net proceeds of $115.3 million during the same period in 2025, used primarily to fund the M&amp;C acquisition. We paid cash dividends of $62.2 million during the nine months ended September 30, 2026, compared to $61.6 million in the same period in 2025. We used cash of $99.3 million during the nine months ended September 30, 2026, to repurchase shares, including $88.8 million related to our share repurchase program, compared to $50.0 million in the same period in 2025, including $40.0 million related to our share repurchase program. The remainder in both periods related to our employee stock compensation programs.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CUMULATIVE TRANSLATION ADJUSTMENTS</w:t>
      </w:r>
    </w:p>
    <w:p>
      <w:pPr>
        <w:spacing w:after="0" w:line="175" w:lineRule="exact"/>
        <w:rPr>
          <w:sz w:val="20"/>
          <w:szCs w:val="20"/>
          <w:color w:val="auto"/>
        </w:rPr>
      </w:pPr>
    </w:p>
    <w:p>
      <w:pPr>
        <w:ind w:right="40" w:firstLine="445"/>
        <w:spacing w:after="0" w:line="289" w:lineRule="auto"/>
        <w:rPr>
          <w:sz w:val="20"/>
          <w:szCs w:val="20"/>
          <w:color w:val="auto"/>
        </w:rPr>
      </w:pPr>
      <w:r>
        <w:rPr>
          <w:rFonts w:ascii="Times New Roman" w:cs="Times New Roman" w:eastAsia="Times New Roman" w:hAnsi="Times New Roman"/>
          <w:sz w:val="17"/>
          <w:szCs w:val="17"/>
          <w:color w:val="auto"/>
        </w:rPr>
        <w:t>The position of the U.S. dollar relative to international currencies, primarily the euro, at September 30, 2026, resulted in a translation loss of $8.6 million being recorded to the cumulative translation adjustments shareholders' equity account during the nine months ended September 30, 2026, compared to a $65.0 million translation gain being recorded to the cumulative translation adjustments shareholders' equity account during the same period in 2025.</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75"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We made contributions of $6.7 million to our pension plans during the nine months ended September 30, 2026. We expect to make net contributions between $8.0 million and $10.0 million to our pension plans in 2026, which are primarily associated with statutorily required plans in the International reporting segment.</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had outstanding bank guarantees and standby letters of credit with banks as of September 30, 2026, totaling $19.4 million, of which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million relate to the senior revolving credit facility. These letters of credit serve to cover customer requirements in connection with certain sales orders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insurance companies. The Company is also required to provide cash collateral in connection with certain arrangements. At September 30, 2026,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has $1.2 million of restricted cash in support of these arrangements.</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have purchase commitments for materials, supplies, services, and property, plant and equipment as part of our ordinary conduct of business.</w:t>
      </w:r>
    </w:p>
    <w:p>
      <w:pPr>
        <w:spacing w:after="0" w:line="171"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Please refer to Note 19—Commitments and Contingencies to the unaudited condensed consolidated financial statements in Part I Item 1 of this Form 10-Q for further discussion on the Company's single incident and cumulative trauma product liabilities.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We prepare our unaudited condensed consolidated financial statements in accordance with accounting principles generally accepted in the United States of America (“U.S. GAAP”). The preparation of these unaudited condensed consolidated financial statements requires us to make estimates and judgments that affect the reported amounts of assets, liabilities, revenues and expenses, and the related disclosures. We evaluate these estimates and judgments on an on-going basis based on historical experience and various assumptions that we believe to be reasonable under the circumstances. However, different amounts could be reported if we had used different assumptions and in light of different facts and circumstances. Actual amounts could differ from the estimates and judgments reflected in our unaudited condensed consolidated financial statements.</w:t>
      </w:r>
    </w:p>
    <w:p>
      <w:pPr>
        <w:spacing w:after="0" w:line="133"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The more critical judgments and estimates used in the preparation of our unaudited condensed consolidated financial statements are discussed in Item 7. Management’s Discussion and Analysis of Financial Condition and Results of Operations in our Annual Report on Form 10-K for the year ended December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RECENTLY ISSUED ACCOUNTING STANDARDS</w:t>
      </w:r>
    </w:p>
    <w:p>
      <w:pPr>
        <w:spacing w:after="0" w:line="175"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Refer to Note 1—Basis of Presentation to the unaudited condensed consolidated financial statements in Part I Item 1 of this Form 10-Q for further information regarding recently adopted and recently issued accounting standards.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70"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adverse changes in the value of a financial instrument caused by changes in currency exchange rates, interest rates, and equity prices. We are exposed to market risks related to currency exchange rates and interest rates.</w:t>
      </w:r>
    </w:p>
    <w:p>
      <w:pPr>
        <w:spacing w:after="0" w:line="104" w:lineRule="exact"/>
        <w:rPr>
          <w:sz w:val="20"/>
          <w:szCs w:val="20"/>
          <w:color w:val="auto"/>
        </w:rPr>
      </w:pPr>
    </w:p>
    <w:p>
      <w:pPr>
        <w:ind w:right="200" w:firstLine="44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Currency exchange rate sensitivity. </w:t>
      </w:r>
      <w:r>
        <w:rPr>
          <w:rFonts w:ascii="Times New Roman" w:cs="Times New Roman" w:eastAsia="Times New Roman" w:hAnsi="Times New Roman"/>
          <w:sz w:val="18"/>
          <w:szCs w:val="18"/>
          <w:color w:val="auto"/>
        </w:rPr>
        <w:t>We are subject to the effects of fluctuations in currency exchange rates on various transactions and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translation of the reported financial position and operating results of our non-U.S. companies from local currencies to U.S. dollars. A hypothetical 10% strengthening or weakening of the U.S. dollar would decrease or increase our reported sales by approximately $24.7 million, or 4.6%, and net income by approximately $1.9 million, or 3.2%, for the three months ended September 30, 2026.</w:t>
      </w:r>
    </w:p>
    <w:p>
      <w:pPr>
        <w:spacing w:after="0" w:line="126" w:lineRule="exact"/>
        <w:rPr>
          <w:sz w:val="20"/>
          <w:szCs w:val="20"/>
          <w:color w:val="auto"/>
        </w:rPr>
      </w:pPr>
    </w:p>
    <w:p>
      <w:pPr>
        <w:ind w:right="300" w:firstLine="445"/>
        <w:spacing w:after="0" w:line="261" w:lineRule="auto"/>
        <w:rPr>
          <w:sz w:val="20"/>
          <w:szCs w:val="20"/>
          <w:color w:val="auto"/>
        </w:rPr>
      </w:pPr>
      <w:r>
        <w:rPr>
          <w:rFonts w:ascii="Times New Roman" w:cs="Times New Roman" w:eastAsia="Times New Roman" w:hAnsi="Times New Roman"/>
          <w:sz w:val="18"/>
          <w:szCs w:val="18"/>
          <w:color w:val="auto"/>
        </w:rPr>
        <w:t>When appropriate, we may attempt to limit our transactional exposure to changes in currency exchange rates through forward contracts or other actions intended to reduce existing exposures by creating offsetting currency exposures. At September 30, 2026, we had open foreign currency forward contracts with a U.S. dollar notional value of $134.5 million. A hypothetical 10% strengthening or weakening of the U.S. dollar would result in a $13.5 million increase or decrease in the fair value of these contracts at September 30, 2026.</w:t>
      </w:r>
    </w:p>
    <w:p>
      <w:pPr>
        <w:spacing w:after="0" w:line="122" w:lineRule="exact"/>
        <w:rPr>
          <w:sz w:val="20"/>
          <w:szCs w:val="20"/>
          <w:color w:val="auto"/>
        </w:rPr>
      </w:pPr>
    </w:p>
    <w:p>
      <w:pPr>
        <w:ind w:right="26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rates. </w:t>
      </w:r>
      <w:r>
        <w:rPr>
          <w:rFonts w:ascii="Times New Roman" w:cs="Times New Roman" w:eastAsia="Times New Roman" w:hAnsi="Times New Roman"/>
          <w:sz w:val="18"/>
          <w:szCs w:val="18"/>
          <w:color w:val="auto"/>
        </w:rPr>
        <w:t>We are exposed to changes in interest rates primarily as a result of borrowing and investing activities used to maintain liquidity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 business operations.</w:t>
      </w:r>
    </w:p>
    <w:p>
      <w:pPr>
        <w:spacing w:after="0" w:line="105"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At September 30, 2026, we had $290.5 million of fixed rate debt which matures at various dates through 2036. The incremental increase in the fair value of fixed rate long-term debt resulting from a hypothetical 10% decrease in interest rates would be approximately $3.7 million. However, our sensitivity to interest rate declines and the corresponding increase in the fair value of our debt portfolio would unfavorably affect earnings and cash flows only to the extent that we elected to repurchase or retire all or a portion of our fixed rate debt portfolio at prices above carrying values.</w:t>
      </w:r>
    </w:p>
    <w:p>
      <w:pPr>
        <w:spacing w:after="0" w:line="126" w:lineRule="exact"/>
        <w:rPr>
          <w:sz w:val="20"/>
          <w:szCs w:val="20"/>
          <w:color w:val="auto"/>
        </w:rPr>
      </w:pPr>
    </w:p>
    <w:p>
      <w:pPr>
        <w:ind w:right="280" w:firstLine="445"/>
        <w:spacing w:after="0" w:line="282" w:lineRule="auto"/>
        <w:rPr>
          <w:sz w:val="20"/>
          <w:szCs w:val="20"/>
          <w:color w:val="auto"/>
        </w:rPr>
      </w:pPr>
      <w:r>
        <w:rPr>
          <w:rFonts w:ascii="Times New Roman" w:cs="Times New Roman" w:eastAsia="Times New Roman" w:hAnsi="Times New Roman"/>
          <w:sz w:val="18"/>
          <w:szCs w:val="18"/>
          <w:color w:val="auto"/>
        </w:rPr>
        <w:t>At September 30, 2026, we had $833.8 million of variable rate borrowings. A 100 basis point increase or decrease in interest rates would have an $8.1 million impact on future annual earnings under our current capital structure.</w:t>
      </w:r>
    </w:p>
    <w:p>
      <w:pPr>
        <w:spacing w:after="0" w:line="158"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4" w:lineRule="exact"/>
        <w:rPr>
          <w:sz w:val="20"/>
          <w:szCs w:val="20"/>
          <w:color w:val="auto"/>
        </w:rPr>
      </w:pPr>
    </w:p>
    <w:p>
      <w:pPr>
        <w:ind w:left="660" w:hanging="328"/>
        <w:spacing w:after="0" w:line="256" w:lineRule="auto"/>
        <w:tabs>
          <w:tab w:leader="none" w:pos="65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Based on their evaluation as of the end of the period covered by this Form 10-Q,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executive officer and principal financial officer have concluded that the Company’s disclosure controls and procedures (as defined in Rules 13a-15(e) and 15d-15(e) under the Securities Exchange Act of 1934 (the “Exchange Act”)) are effective to ensure that information required to be disclosed by the Company in reports that it files or submits under the Exchange Act is (i) recorded, processed, summarized and reported within the time periods specified in Securities and Exchange Commission rules and forms and (ii) accumulated and communicated to our management, including the principal executive officer and principal financial officer, as appropriate to allow timely decisions regarding required disclosure.</w:t>
      </w:r>
    </w:p>
    <w:p>
      <w:pPr>
        <w:spacing w:after="0" w:line="128" w:lineRule="exact"/>
        <w:rPr>
          <w:rFonts w:ascii="Times New Roman" w:cs="Times New Roman" w:eastAsia="Times New Roman" w:hAnsi="Times New Roman"/>
          <w:sz w:val="18"/>
          <w:szCs w:val="18"/>
          <w:color w:val="auto"/>
        </w:rPr>
      </w:pPr>
    </w:p>
    <w:p>
      <w:pPr>
        <w:jc w:val="both"/>
        <w:ind w:left="660" w:right="440" w:hanging="328"/>
        <w:spacing w:after="0" w:line="267" w:lineRule="auto"/>
        <w:tabs>
          <w:tab w:leader="none" w:pos="6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internal control</w:t>
      </w:r>
      <w:r>
        <w:rPr>
          <w:rFonts w:ascii="Times New Roman" w:cs="Times New Roman" w:eastAsia="Times New Roman" w:hAnsi="Times New Roman"/>
          <w:sz w:val="18"/>
          <w:szCs w:val="18"/>
          <w:color w:val="auto"/>
        </w:rPr>
        <w:t>. There were no changes in the Company’s internal control over financial reporting that occurred during the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recent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  Issuer Purchases of Equity Securities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37"/>
        </w:trPr>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21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46"/>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0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2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8"/>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vMerge w:val="restart"/>
          </w:tcPr>
          <w:p>
            <w:pPr>
              <w:spacing w:after="0"/>
              <w:rPr>
                <w:sz w:val="12"/>
                <w:szCs w:val="12"/>
                <w:color w:val="auto"/>
              </w:rPr>
            </w:pPr>
          </w:p>
        </w:tc>
        <w:tc>
          <w:tcPr>
            <w:tcW w:w="2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20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Borders>
              <w:bottom w:val="single" w:sz="8" w:color="CCEEFF"/>
            </w:tcBorders>
          </w:tcPr>
          <w:p>
            <w:pPr>
              <w:spacing w:after="0"/>
              <w:rPr>
                <w:sz w:val="17"/>
                <w:szCs w:val="17"/>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43"/>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2026</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172.54</w:t>
            </w:r>
          </w:p>
        </w:tc>
        <w:tc>
          <w:tcPr>
            <w:tcW w:w="100" w:type="dxa"/>
            <w:vAlign w:val="bottom"/>
            <w:shd w:val="clear" w:color="auto" w:fill="CCEEFF"/>
          </w:tcPr>
          <w:p>
            <w:pPr>
              <w:spacing w:after="0"/>
              <w:rPr>
                <w:sz w:val="21"/>
                <w:szCs w:val="21"/>
                <w:color w:val="auto"/>
              </w:rPr>
            </w:pPr>
          </w:p>
        </w:tc>
        <w:tc>
          <w:tcPr>
            <w:tcW w:w="1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35,039</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2,330,687</w:t>
            </w:r>
          </w:p>
        </w:tc>
        <w:tc>
          <w:tcPr>
            <w:tcW w:w="0" w:type="dxa"/>
            <w:vAlign w:val="bottom"/>
          </w:tcPr>
          <w:p>
            <w:pPr>
              <w:spacing w:after="0"/>
              <w:rPr>
                <w:sz w:val="1"/>
                <w:szCs w:val="1"/>
                <w:color w:val="auto"/>
              </w:rPr>
            </w:pPr>
          </w:p>
        </w:tc>
      </w:tr>
      <w:tr>
        <w:trPr>
          <w:trHeight w:val="243"/>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2026</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191.06</w:t>
            </w:r>
          </w:p>
        </w:tc>
        <w:tc>
          <w:tcPr>
            <w:tcW w:w="100" w:type="dxa"/>
            <w:vAlign w:val="bottom"/>
          </w:tcPr>
          <w:p>
            <w:pPr>
              <w:spacing w:after="0"/>
              <w:rPr>
                <w:sz w:val="21"/>
                <w:szCs w:val="21"/>
                <w:color w:val="auto"/>
              </w:rPr>
            </w:pPr>
          </w:p>
        </w:tc>
        <w:tc>
          <w:tcPr>
            <w:tcW w:w="19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24,602</w:t>
            </w:r>
          </w:p>
        </w:tc>
        <w:tc>
          <w:tcPr>
            <w:tcW w:w="100" w:type="dxa"/>
            <w:vAlign w:val="bottom"/>
          </w:tcPr>
          <w:p>
            <w:pPr>
              <w:spacing w:after="0"/>
              <w:rPr>
                <w:sz w:val="21"/>
                <w:szCs w:val="21"/>
                <w:color w:val="auto"/>
              </w:rPr>
            </w:pPr>
          </w:p>
        </w:tc>
        <w:tc>
          <w:tcPr>
            <w:tcW w:w="21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2,349,195</w:t>
            </w:r>
          </w:p>
        </w:tc>
        <w:tc>
          <w:tcPr>
            <w:tcW w:w="0" w:type="dxa"/>
            <w:vAlign w:val="bottom"/>
          </w:tcPr>
          <w:p>
            <w:pPr>
              <w:spacing w:after="0"/>
              <w:rPr>
                <w:sz w:val="1"/>
                <w:szCs w:val="1"/>
                <w:color w:val="auto"/>
              </w:rPr>
            </w:pPr>
          </w:p>
        </w:tc>
      </w:tr>
      <w:tr>
        <w:trPr>
          <w:trHeight w:val="243"/>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2026</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187.95</w:t>
            </w:r>
          </w:p>
        </w:tc>
        <w:tc>
          <w:tcPr>
            <w:tcW w:w="100" w:type="dxa"/>
            <w:vAlign w:val="bottom"/>
            <w:shd w:val="clear" w:color="auto" w:fill="CCEEFF"/>
          </w:tcPr>
          <w:p>
            <w:pPr>
              <w:spacing w:after="0"/>
              <w:rPr>
                <w:sz w:val="21"/>
                <w:szCs w:val="21"/>
                <w:color w:val="auto"/>
              </w:rPr>
            </w:pPr>
          </w:p>
        </w:tc>
        <w:tc>
          <w:tcPr>
            <w:tcW w:w="1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9,323</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2,456,751</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The 2026 share repurchase program, which was approved on February 20, 2026, authorizes up to $500.0 million in repurchases of MSA common stock in the open market and in private transactions. The share repurchase program has no expiration date. The maximum number of shares that may be purchased is calculated based on the dollars remaining under the program and the respective month-end closing share price. There were 70,227 shares repurchased during the quarter ended September 30, 2026. We do not have any other share repurchase programs. Remaining shares purchased during the quarter were related to stock-based compensation transactions.</w:t>
      </w:r>
    </w:p>
    <w:p>
      <w:pPr>
        <w:spacing w:after="0" w:line="260"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three months ended September 30, 2026, no director or officer of the Company, nor the Company itself, adopted or terminated a “Rule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10b5-1 trading arrangement” or “non-Rule 10b5-1 trading arrangement,” as each term is defined in Item 408(a) of Regulation S-K.</w:t>
      </w:r>
    </w:p>
    <w:p>
      <w:pPr>
        <w:spacing w:after="0" w:line="203"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w:t>
      </w:r>
    </w:p>
    <w:p>
      <w:pPr>
        <w:spacing w:after="0" w:line="25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Rule 13a-14(a)</w:t>
      </w:r>
    </w:p>
    <w:p>
      <w:pPr>
        <w:spacing w:after="0" w:line="17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pursuant to Rule 13a-14(a)</w:t>
      </w:r>
    </w:p>
    <w:p>
      <w:pPr>
        <w:spacing w:after="0" w:line="171" w:lineRule="exact"/>
        <w:rPr>
          <w:sz w:val="20"/>
          <w:szCs w:val="20"/>
          <w:color w:val="auto"/>
        </w:rPr>
      </w:pPr>
    </w:p>
    <w:p>
      <w:pPr>
        <w:ind w:left="540" w:hanging="532"/>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Chief Executive Officer and Chief Financial Officer pursuant to 18 U.S.C. (S)1350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7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7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7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7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7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XBRL Taxonomy Extension Presentation Linkbase Document</w:t>
            </w:r>
          </w:p>
        </w:tc>
      </w:tr>
    </w:tbl>
    <w:p>
      <w:pPr>
        <w:spacing w:after="0" w:line="184" w:lineRule="exact"/>
        <w:rPr>
          <w:sz w:val="20"/>
          <w:szCs w:val="20"/>
          <w:color w:val="auto"/>
        </w:rPr>
      </w:pPr>
    </w:p>
    <w:p>
      <w:pPr>
        <w:ind w:left="700" w:hanging="692"/>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0"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MSA SAFETY INCORPORATED</w:t>
            </w:r>
          </w:p>
        </w:tc>
      </w:tr>
      <w:tr>
        <w:trPr>
          <w:trHeight w:val="51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November 3, 2026</w:t>
            </w:r>
          </w:p>
        </w:tc>
        <w:tc>
          <w:tcPr>
            <w:tcW w:w="7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Julie A. Beck</w:t>
            </w:r>
          </w:p>
        </w:tc>
      </w:tr>
      <w:tr>
        <w:trPr>
          <w:trHeight w:val="237"/>
        </w:trPr>
        <w:tc>
          <w:tcPr>
            <w:tcW w:w="414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Julie A. Beck</w:t>
            </w:r>
          </w:p>
        </w:tc>
      </w:tr>
      <w:tr>
        <w:trPr>
          <w:trHeight w:val="243"/>
        </w:trPr>
        <w:tc>
          <w:tcPr>
            <w:tcW w:w="4140" w:type="dxa"/>
            <w:vAlign w:val="bottom"/>
          </w:tcPr>
          <w:p>
            <w:pPr>
              <w:spacing w:after="0"/>
              <w:rPr>
                <w:sz w:val="21"/>
                <w:szCs w:val="21"/>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 (Principal Financial Officer)</w:t>
            </w:r>
          </w:p>
        </w:tc>
      </w:tr>
      <w:tr>
        <w:trPr>
          <w:trHeight w:val="513"/>
        </w:trPr>
        <w:tc>
          <w:tcPr>
            <w:tcW w:w="4140" w:type="dxa"/>
            <w:vAlign w:val="bottom"/>
          </w:tcPr>
          <w:p>
            <w:pPr>
              <w:spacing w:after="0"/>
              <w:rPr>
                <w:sz w:val="24"/>
                <w:szCs w:val="24"/>
                <w:color w:val="auto"/>
              </w:rPr>
            </w:pPr>
          </w:p>
        </w:tc>
        <w:tc>
          <w:tcPr>
            <w:tcW w:w="7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Jonathan D. Buck</w:t>
            </w:r>
          </w:p>
        </w:tc>
      </w:tr>
      <w:tr>
        <w:trPr>
          <w:trHeight w:val="237"/>
        </w:trPr>
        <w:tc>
          <w:tcPr>
            <w:tcW w:w="414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Jonathan D. Buck</w:t>
            </w:r>
          </w:p>
        </w:tc>
      </w:tr>
      <w:tr>
        <w:trPr>
          <w:trHeight w:val="243"/>
        </w:trPr>
        <w:tc>
          <w:tcPr>
            <w:tcW w:w="4140" w:type="dxa"/>
            <w:vAlign w:val="bottom"/>
          </w:tcPr>
          <w:p>
            <w:pPr>
              <w:spacing w:after="0"/>
              <w:rPr>
                <w:sz w:val="21"/>
                <w:szCs w:val="21"/>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 and Controller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C. Blanco, certify that:</w:t>
      </w:r>
    </w:p>
    <w:p>
      <w:pPr>
        <w:spacing w:after="0" w:line="171" w:lineRule="exact"/>
        <w:rPr>
          <w:sz w:val="20"/>
          <w:szCs w:val="20"/>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MSA Safety Incorporated;</w:t>
      </w:r>
    </w:p>
    <w:p>
      <w:pPr>
        <w:spacing w:after="0" w:line="171"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right="340" w:firstLine="453"/>
        <w:spacing w:after="0" w:line="266" w:lineRule="auto"/>
        <w:tabs>
          <w:tab w:leader="none" w:pos="69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700" w:hanging="247"/>
        <w:spacing w:after="0"/>
        <w:tabs>
          <w:tab w:leader="none" w:pos="7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8"/>
          <w:szCs w:val="18"/>
          <w:color w:val="auto"/>
        </w:rPr>
      </w:pPr>
    </w:p>
    <w:p>
      <w:pPr>
        <w:ind w:right="840" w:firstLine="453"/>
        <w:spacing w:after="0" w:line="282" w:lineRule="auto"/>
        <w:tabs>
          <w:tab w:leader="none" w:pos="69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right="240" w:firstLine="453"/>
        <w:spacing w:after="0" w:line="266" w:lineRule="auto"/>
        <w:tabs>
          <w:tab w:leader="none" w:pos="7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right="240" w:firstLine="453"/>
        <w:spacing w:after="0" w:line="282" w:lineRule="auto"/>
        <w:tabs>
          <w:tab w:leader="none" w:pos="69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right="180" w:firstLine="453"/>
        <w:spacing w:after="0" w:line="282" w:lineRule="auto"/>
        <w:tabs>
          <w:tab w:leader="none" w:pos="7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5820" w:val="left"/>
        </w:tabs>
        <w:rPr>
          <w:sz w:val="20"/>
          <w:szCs w:val="20"/>
          <w:color w:val="auto"/>
        </w:rPr>
      </w:pPr>
      <w:r>
        <w:rPr>
          <w:rFonts w:ascii="Times New Roman" w:cs="Times New Roman" w:eastAsia="Times New Roman" w:hAnsi="Times New Roman"/>
          <w:sz w:val="18"/>
          <w:szCs w:val="18"/>
          <w:color w:val="auto"/>
        </w:rPr>
        <w:t>November 3, 2026</w:t>
      </w:r>
      <w:r>
        <w:rPr>
          <w:sz w:val="20"/>
          <w:szCs w:val="20"/>
          <w:color w:val="auto"/>
        </w:rPr>
        <w:tab/>
      </w:r>
      <w:r>
        <w:rPr>
          <w:rFonts w:ascii="Times New Roman" w:cs="Times New Roman" w:eastAsia="Times New Roman" w:hAnsi="Times New Roman"/>
          <w:sz w:val="18"/>
          <w:szCs w:val="18"/>
          <w:color w:val="auto"/>
        </w:rPr>
        <w:t>/s/ Steven C. Blanco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4207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3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Steven C. Blanco</w:t>
      </w:r>
    </w:p>
    <w:p>
      <w:pPr>
        <w:spacing w:after="0" w:line="3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Julie A. Beck certify that:</w:t>
      </w:r>
    </w:p>
    <w:p>
      <w:pPr>
        <w:spacing w:after="0" w:line="171"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MSA Safety Incorporated;</w:t>
      </w:r>
    </w:p>
    <w:p>
      <w:pPr>
        <w:spacing w:after="0" w:line="171"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right="340" w:firstLine="453"/>
        <w:spacing w:after="0" w:line="266" w:lineRule="auto"/>
        <w:tabs>
          <w:tab w:leader="none" w:pos="69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700" w:hanging="247"/>
        <w:spacing w:after="0"/>
        <w:tabs>
          <w:tab w:leader="none" w:pos="7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8"/>
          <w:szCs w:val="18"/>
          <w:color w:val="auto"/>
        </w:rPr>
      </w:pPr>
    </w:p>
    <w:p>
      <w:pPr>
        <w:ind w:right="840" w:firstLine="453"/>
        <w:spacing w:after="0" w:line="282" w:lineRule="auto"/>
        <w:tabs>
          <w:tab w:leader="none" w:pos="69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right="240" w:firstLine="453"/>
        <w:spacing w:after="0" w:line="266" w:lineRule="auto"/>
        <w:tabs>
          <w:tab w:leader="none" w:pos="7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right="240" w:firstLine="453"/>
        <w:spacing w:after="0" w:line="282" w:lineRule="auto"/>
        <w:tabs>
          <w:tab w:leader="none" w:pos="69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right="180" w:firstLine="453"/>
        <w:spacing w:after="0" w:line="282" w:lineRule="auto"/>
        <w:tabs>
          <w:tab w:leader="none" w:pos="7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4560" w:val="left"/>
        </w:tabs>
        <w:rPr>
          <w:sz w:val="20"/>
          <w:szCs w:val="20"/>
          <w:color w:val="auto"/>
        </w:rPr>
      </w:pPr>
      <w:r>
        <w:rPr>
          <w:rFonts w:ascii="Times New Roman" w:cs="Times New Roman" w:eastAsia="Times New Roman" w:hAnsi="Times New Roman"/>
          <w:sz w:val="18"/>
          <w:szCs w:val="18"/>
          <w:color w:val="auto"/>
        </w:rPr>
        <w:t>November 3, 2026</w:t>
      </w:r>
      <w:r>
        <w:rPr>
          <w:sz w:val="20"/>
          <w:szCs w:val="20"/>
          <w:color w:val="auto"/>
        </w:rPr>
        <w:tab/>
      </w:r>
      <w:r>
        <w:rPr>
          <w:rFonts w:ascii="Times New Roman" w:cs="Times New Roman" w:eastAsia="Times New Roman" w:hAnsi="Times New Roman"/>
          <w:sz w:val="18"/>
          <w:szCs w:val="18"/>
          <w:color w:val="auto"/>
        </w:rPr>
        <w:t>/s/ Julie A.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17145</wp:posOffset>
            </wp:positionV>
            <wp:extent cx="42348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3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Julie A. Beck</w:t>
      </w:r>
    </w:p>
    <w:p>
      <w:pPr>
        <w:spacing w:after="0" w:line="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 (Principal Financial Officer)</w:t>
      </w:r>
    </w:p>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ind w:right="480" w:firstLine="445"/>
        <w:spacing w:after="0" w:line="261" w:lineRule="auto"/>
        <w:rPr>
          <w:sz w:val="20"/>
          <w:szCs w:val="20"/>
          <w:color w:val="auto"/>
        </w:rPr>
      </w:pPr>
      <w:r>
        <w:rPr>
          <w:rFonts w:ascii="Times New Roman" w:cs="Times New Roman" w:eastAsia="Times New Roman" w:hAnsi="Times New Roman"/>
          <w:sz w:val="18"/>
          <w:szCs w:val="18"/>
          <w:color w:val="auto"/>
        </w:rPr>
        <w:t>Pursuant to 18 U.S.C. (S) 1350, the undersigned officers of MSA Safety Incorporated (the “Company”), hereby certify, to the best of their knowledge, that the Company’s Quarterly Report on Form 10-Q for the quarter ended September 30, 2026, (the “Report”) fully complies with the requirements of Section 13 (a) or 15 (d), as applicable,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1" w:lineRule="exact"/>
        <w:rPr>
          <w:sz w:val="20"/>
          <w:szCs w:val="20"/>
          <w:color w:val="auto"/>
        </w:rPr>
      </w:pPr>
    </w:p>
    <w:p>
      <w:pPr>
        <w:ind w:left="20"/>
        <w:spacing w:after="0"/>
        <w:tabs>
          <w:tab w:leader="none" w:pos="4560" w:val="left"/>
        </w:tabs>
        <w:rPr>
          <w:sz w:val="20"/>
          <w:szCs w:val="20"/>
          <w:color w:val="auto"/>
        </w:rPr>
      </w:pPr>
      <w:r>
        <w:rPr>
          <w:rFonts w:ascii="Times New Roman" w:cs="Times New Roman" w:eastAsia="Times New Roman" w:hAnsi="Times New Roman"/>
          <w:sz w:val="18"/>
          <w:szCs w:val="18"/>
          <w:color w:val="auto"/>
        </w:rPr>
        <w:t>November 3, 2026</w:t>
      </w:r>
      <w:r>
        <w:rPr>
          <w:sz w:val="20"/>
          <w:szCs w:val="20"/>
          <w:color w:val="auto"/>
        </w:rPr>
        <w:tab/>
      </w:r>
      <w:r>
        <w:rPr>
          <w:rFonts w:ascii="Times New Roman" w:cs="Times New Roman" w:eastAsia="Times New Roman" w:hAnsi="Times New Roman"/>
          <w:sz w:val="18"/>
          <w:szCs w:val="18"/>
          <w:color w:val="auto"/>
        </w:rPr>
        <w:t>/s/ Steven C. Blanco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17145</wp:posOffset>
            </wp:positionV>
            <wp:extent cx="42348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3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Steven C. Blanco</w:t>
      </w:r>
    </w:p>
    <w:p>
      <w:pPr>
        <w:spacing w:after="0" w:line="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0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 Julie A.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17145</wp:posOffset>
            </wp:positionV>
            <wp:extent cx="42348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3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Julie A. Beck</w:t>
      </w:r>
    </w:p>
    <w:p>
      <w:pPr>
        <w:spacing w:after="0" w:line="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 (Principal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1)"/>
      <w:numFmt w:val="lowerLetter"/>
      <w:start w:val="1"/>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1)"/>
      <w:numFmt w:val="lowerLetter"/>
      <w:start w:val="1"/>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1)"/>
      <w:numFmt w:val="lowerLetter"/>
      <w:start w:val="1"/>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32"/>
    </w:lvl>
  </w:abstractNum>
  <w:abstractNum w:abstractNumId="16">
    <w:nsid w:val="431BD7B7"/>
    <w:multiLevelType w:val="hybridMultilevel"/>
    <w:lvl w:ilvl="0">
      <w:lvlJc w:val="left"/>
      <w:lvlText w:val="%1"/>
      <w:numFmt w:val="decimal"/>
      <w:start w:val="104"/>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2026-11-03T16:16:19Z</dcterms:created>
  <dcterms:modified xsi:type="dcterms:W3CDTF">2026-11-03T16:16:19Z</dcterms:modified>
</cp:coreProperties>
</file>